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hint="eastAsia" w:eastAsia="宋体" w:cs="Arial"/>
          <w:sz w:val="24"/>
          <w:szCs w:val="24"/>
          <w:lang w:val="en-US" w:eastAsia="zh-CN"/>
        </w:rPr>
        <w:t>100</w:t>
      </w:r>
      <w:r>
        <w:rPr>
          <w:rFonts w:cs="Arial"/>
          <w:sz w:val="24"/>
          <w:szCs w:val="24"/>
        </w:rPr>
        <w:t xml:space="preserve">e </w:t>
      </w:r>
      <w:r>
        <w:rPr>
          <w:rFonts w:hint="eastAsia" w:eastAsia="宋体" w:cs="Arial"/>
          <w:sz w:val="24"/>
          <w:szCs w:val="24"/>
          <w:lang w:val="en-US" w:eastAsia="zh-CN"/>
        </w:rPr>
        <w:t xml:space="preserve">                                                            </w:t>
      </w:r>
      <w:r>
        <w:rPr>
          <w:rFonts w:hint="eastAsia" w:ascii="Arial" w:hAnsi="Arial" w:cs="Arial"/>
          <w:b/>
          <w:sz w:val="24"/>
          <w:szCs w:val="24"/>
        </w:rPr>
        <w:t>R4-211</w:t>
      </w:r>
      <w:r>
        <w:rPr>
          <w:rFonts w:hint="eastAsia" w:eastAsia="宋体" w:cs="Arial"/>
          <w:b/>
          <w:sz w:val="24"/>
          <w:szCs w:val="24"/>
          <w:lang w:val="en-US" w:eastAsia="zh-CN"/>
        </w:rPr>
        <w:t>2907</w:t>
      </w:r>
    </w:p>
    <w:p>
      <w:pPr>
        <w:pStyle w:val="36"/>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Pr>
          <w:rFonts w:hint="eastAsia" w:cs="Arial"/>
          <w:sz w:val="24"/>
          <w:szCs w:val="24"/>
          <w:lang w:val="en-US" w:eastAsia="zh-CN"/>
        </w:rPr>
        <w:t>16</w:t>
      </w:r>
      <w:r>
        <w:rPr>
          <w:rFonts w:cs="Arial"/>
          <w:sz w:val="24"/>
          <w:szCs w:val="24"/>
          <w:lang w:eastAsia="zh-CN"/>
        </w:rPr>
        <w:t>-</w:t>
      </w:r>
      <w:r>
        <w:rPr>
          <w:rFonts w:hint="eastAsia" w:cs="Arial"/>
          <w:sz w:val="24"/>
          <w:szCs w:val="24"/>
          <w:lang w:val="en-US" w:eastAsia="zh-CN"/>
        </w:rPr>
        <w:t>27</w:t>
      </w:r>
      <w:r>
        <w:rPr>
          <w:rFonts w:cs="Arial"/>
          <w:sz w:val="24"/>
          <w:szCs w:val="24"/>
          <w:lang w:eastAsia="zh-CN"/>
        </w:rPr>
        <w:t xml:space="preserve"> </w:t>
      </w:r>
      <w:r>
        <w:rPr>
          <w:rFonts w:hint="eastAsia" w:cs="Arial"/>
          <w:sz w:val="24"/>
          <w:szCs w:val="24"/>
          <w:lang w:val="en-US" w:eastAsia="zh-CN"/>
        </w:rPr>
        <w:t>Aug</w:t>
      </w:r>
      <w:r>
        <w:rPr>
          <w:rFonts w:cs="Arial"/>
          <w:sz w:val="24"/>
          <w:szCs w:val="24"/>
          <w:lang w:eastAsia="zh-CN"/>
        </w:rPr>
        <w:t>., 202</w:t>
      </w:r>
      <w:r>
        <w:rPr>
          <w:rFonts w:hint="eastAsia" w:cs="Arial"/>
          <w:sz w:val="24"/>
          <w:szCs w:val="24"/>
          <w:lang w:val="en-US" w:eastAsia="zh-CN"/>
        </w:rPr>
        <w:t>1</w:t>
      </w:r>
    </w:p>
    <w:p>
      <w:pPr>
        <w:pStyle w:val="36"/>
        <w:tabs>
          <w:tab w:val="right" w:pos="9781"/>
          <w:tab w:val="right" w:pos="13323"/>
        </w:tabs>
        <w:spacing w:after="0"/>
        <w:outlineLvl w:val="0"/>
        <w:rPr>
          <w:rFonts w:eastAsia="宋体" w:cs="Arial"/>
          <w:sz w:val="24"/>
          <w:szCs w:val="24"/>
          <w:lang w:val="en-US" w:eastAsia="zh-CN"/>
        </w:rPr>
      </w:pPr>
    </w:p>
    <w:bookmarkEnd w:id="0"/>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spacing w:after="0"/>
              <w:jc w:val="right"/>
              <w:rPr>
                <w:rFonts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spacing w:after="0"/>
              <w:jc w:val="right"/>
              <w:rPr>
                <w:sz w:val="28"/>
                <w:szCs w:val="28"/>
              </w:rPr>
            </w:pPr>
          </w:p>
        </w:tc>
        <w:tc>
          <w:tcPr>
            <w:tcW w:w="2126" w:type="dxa"/>
            <w:shd w:val="pct30" w:color="FFFF00" w:fill="auto"/>
          </w:tcPr>
          <w:p>
            <w:pPr>
              <w:pStyle w:val="65"/>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65"/>
              <w:spacing w:after="0"/>
              <w:jc w:val="center"/>
            </w:pPr>
            <w:r>
              <w:rPr>
                <w:b/>
                <w:sz w:val="28"/>
              </w:rPr>
              <w:t>CR</w:t>
            </w:r>
          </w:p>
        </w:tc>
        <w:tc>
          <w:tcPr>
            <w:tcW w:w="1276" w:type="dxa"/>
            <w:shd w:val="pct30" w:color="FFFF00" w:fill="auto"/>
          </w:tcPr>
          <w:p>
            <w:pPr>
              <w:pStyle w:val="65"/>
              <w:spacing w:after="0"/>
              <w:rPr>
                <w:rFonts w:eastAsia="宋体" w:cs="Arial"/>
                <w:sz w:val="28"/>
                <w:szCs w:val="28"/>
                <w:lang w:val="en-US" w:eastAsia="zh-CN"/>
              </w:rPr>
            </w:pPr>
          </w:p>
        </w:tc>
        <w:tc>
          <w:tcPr>
            <w:tcW w:w="709" w:type="dxa"/>
            <w:shd w:val="clear" w:color="auto" w:fill="auto"/>
          </w:tcPr>
          <w:p>
            <w:pPr>
              <w:pStyle w:val="65"/>
              <w:tabs>
                <w:tab w:val="right" w:pos="625"/>
              </w:tabs>
              <w:spacing w:after="0"/>
              <w:jc w:val="center"/>
            </w:pPr>
            <w:r>
              <w:rPr>
                <w:b/>
                <w:bCs/>
                <w:sz w:val="28"/>
              </w:rPr>
              <w:t>rev</w:t>
            </w:r>
          </w:p>
        </w:tc>
        <w:tc>
          <w:tcPr>
            <w:tcW w:w="425" w:type="dxa"/>
            <w:shd w:val="pct30" w:color="FFFF00" w:fill="auto"/>
          </w:tcPr>
          <w:p>
            <w:pPr>
              <w:pStyle w:val="65"/>
              <w:spacing w:after="0"/>
              <w:jc w:val="center"/>
              <w:rPr>
                <w:rFonts w:eastAsia="宋体"/>
                <w:b/>
                <w:lang w:eastAsia="zh-CN"/>
              </w:rPr>
            </w:pPr>
          </w:p>
        </w:tc>
        <w:tc>
          <w:tcPr>
            <w:tcW w:w="2693" w:type="dxa"/>
            <w:shd w:val="clear" w:color="auto" w:fill="auto"/>
          </w:tcPr>
          <w:p>
            <w:pPr>
              <w:pStyle w:val="65"/>
              <w:tabs>
                <w:tab w:val="right" w:pos="1825"/>
              </w:tabs>
              <w:spacing w:after="0"/>
              <w:jc w:val="center"/>
            </w:pPr>
            <w:r>
              <w:rPr>
                <w:b/>
                <w:sz w:val="28"/>
                <w:szCs w:val="28"/>
              </w:rPr>
              <w:t>Current version:</w:t>
            </w:r>
          </w:p>
        </w:tc>
        <w:tc>
          <w:tcPr>
            <w:tcW w:w="1418" w:type="dxa"/>
            <w:shd w:val="pct30" w:color="FFFF00" w:fill="auto"/>
          </w:tcPr>
          <w:p>
            <w:pPr>
              <w:pStyle w:val="65"/>
              <w:spacing w:after="0"/>
              <w:jc w:val="center"/>
              <w:rPr>
                <w:lang w:val="en-US"/>
              </w:rPr>
            </w:pPr>
            <w:r>
              <w:rPr>
                <w:rFonts w:hint="eastAsia" w:eastAsia="宋体"/>
                <w:b/>
                <w:sz w:val="28"/>
                <w:szCs w:val="28"/>
                <w:lang w:val="en-US" w:eastAsia="zh-CN"/>
              </w:rPr>
              <w:t>17.2.0</w:t>
            </w:r>
          </w:p>
        </w:tc>
        <w:tc>
          <w:tcPr>
            <w:tcW w:w="143" w:type="dxa"/>
            <w:tcBorders>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spacing w:after="0"/>
              <w:rPr>
                <w:sz w:val="8"/>
                <w:szCs w:val="8"/>
              </w:rPr>
            </w:pPr>
          </w:p>
        </w:tc>
      </w:tr>
      <w:bookmarkEnd w:id="1"/>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tcPr>
          <w:p>
            <w:pPr>
              <w:pStyle w:val="65"/>
              <w:tabs>
                <w:tab w:val="right" w:pos="2751"/>
              </w:tabs>
              <w:spacing w:after="0"/>
              <w:rPr>
                <w:b/>
                <w:i/>
              </w:rPr>
            </w:pPr>
            <w:r>
              <w:rPr>
                <w:b/>
                <w:i/>
              </w:rPr>
              <w:t>Proposed change affects:</w:t>
            </w:r>
          </w:p>
        </w:tc>
        <w:tc>
          <w:tcPr>
            <w:tcW w:w="1418" w:type="dxa"/>
            <w:shd w:val="clear" w:color="auto" w:fill="auto"/>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spacing w:after="0"/>
              <w:jc w:val="center"/>
              <w:rPr>
                <w:b/>
                <w:caps/>
              </w:rPr>
            </w:pPr>
          </w:p>
        </w:tc>
        <w:tc>
          <w:tcPr>
            <w:tcW w:w="709" w:type="dxa"/>
            <w:tcBorders>
              <w:left w:val="single" w:color="auto" w:sz="4" w:space="0"/>
            </w:tcBorders>
            <w:shd w:val="clear" w:color="auto" w:fill="auto"/>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spacing w:after="0"/>
              <w:jc w:val="center"/>
              <w:rPr>
                <w:b/>
                <w:caps/>
              </w:rPr>
            </w:pPr>
          </w:p>
        </w:tc>
        <w:tc>
          <w:tcPr>
            <w:tcW w:w="1418" w:type="dxa"/>
            <w:tcBorders>
              <w:left w:val="nil"/>
            </w:tcBorders>
            <w:shd w:val="clear" w:color="auto" w:fill="auto"/>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bCs/>
                <w:caps/>
              </w:rPr>
            </w:pPr>
          </w:p>
        </w:tc>
      </w:tr>
    </w:tbl>
    <w:p>
      <w:pPr>
        <w:rPr>
          <w:sz w:val="8"/>
          <w:szCs w:val="8"/>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tcPr>
          <w:p>
            <w:pPr>
              <w:pStyle w:val="6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Draft CR to TS38.101-1: Inter-band NR CA Tx requirement including single carrier UL configuration.</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65"/>
              <w:spacing w:after="0"/>
              <w:ind w:left="100"/>
              <w:rPr>
                <w:rFonts w:hint="default" w:eastAsia="宋体"/>
                <w:lang w:val="en-US" w:eastAsia="zh-CN"/>
              </w:rPr>
            </w:pPr>
            <w:r>
              <w:rPr>
                <w:rFonts w:hint="eastAsia" w:cs="Arial"/>
                <w:lang w:val="en-US" w:eastAsia="zh-CN"/>
              </w:rPr>
              <w:t>ZTE Corporation, vivo</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6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Work item code:</w:t>
            </w:r>
          </w:p>
        </w:tc>
        <w:tc>
          <w:tcPr>
            <w:tcW w:w="3260" w:type="dxa"/>
            <w:gridSpan w:val="5"/>
            <w:shd w:val="pct30" w:color="FFFF00" w:fill="auto"/>
          </w:tcPr>
          <w:p>
            <w:pPr>
              <w:pStyle w:val="65"/>
              <w:spacing w:after="0"/>
              <w:ind w:left="100"/>
              <w:rPr>
                <w:rFonts w:cs="Arial"/>
              </w:rPr>
            </w:pPr>
            <w:r>
              <w:rPr>
                <w:rFonts w:cs="Arial"/>
              </w:rPr>
              <w:t>NR_newRAT</w:t>
            </w:r>
            <w:r>
              <w:rPr>
                <w:rFonts w:cs="Arial"/>
                <w:lang w:eastAsia="ja-JP"/>
              </w:rPr>
              <w:t>-Core</w:t>
            </w:r>
          </w:p>
        </w:tc>
        <w:tc>
          <w:tcPr>
            <w:tcW w:w="994" w:type="dxa"/>
            <w:gridSpan w:val="2"/>
            <w:tcBorders>
              <w:left w:val="nil"/>
            </w:tcBorders>
            <w:shd w:val="clear" w:color="auto" w:fill="auto"/>
          </w:tcPr>
          <w:p>
            <w:pPr>
              <w:pStyle w:val="65"/>
              <w:spacing w:after="0"/>
              <w:ind w:right="100"/>
            </w:pPr>
          </w:p>
        </w:tc>
        <w:tc>
          <w:tcPr>
            <w:tcW w:w="1417" w:type="dxa"/>
            <w:gridSpan w:val="2"/>
            <w:tcBorders>
              <w:left w:val="nil"/>
            </w:tcBorders>
            <w:shd w:val="clear" w:color="auto" w:fill="auto"/>
          </w:tcPr>
          <w:p>
            <w:pPr>
              <w:pStyle w:val="65"/>
              <w:spacing w:after="0"/>
              <w:jc w:val="right"/>
            </w:pPr>
            <w:r>
              <w:rPr>
                <w:b/>
                <w:i/>
              </w:rPr>
              <w:t>Date:</w:t>
            </w:r>
          </w:p>
        </w:tc>
        <w:tc>
          <w:tcPr>
            <w:tcW w:w="2127" w:type="dxa"/>
            <w:tcBorders>
              <w:right w:val="single" w:color="auto" w:sz="4" w:space="0"/>
            </w:tcBorders>
            <w:shd w:val="pct30" w:color="FFFF00" w:fill="auto"/>
          </w:tcPr>
          <w:p>
            <w:pPr>
              <w:pStyle w:val="65"/>
              <w:spacing w:after="0"/>
              <w:ind w:left="100"/>
              <w:rPr>
                <w:rFonts w:hint="default" w:eastAsia="宋体"/>
                <w:lang w:val="en-US" w:eastAsia="zh-CN"/>
              </w:rPr>
            </w:pPr>
            <w:r>
              <w:t>20</w:t>
            </w:r>
            <w:r>
              <w:rPr>
                <w:rFonts w:hint="eastAsia"/>
                <w:lang w:val="en-US" w:eastAsia="zh-CN"/>
              </w:rPr>
              <w:t>21</w:t>
            </w:r>
            <w:r>
              <w:t>-</w:t>
            </w:r>
            <w:r>
              <w:rPr>
                <w:rFonts w:hint="eastAsia"/>
                <w:lang w:val="en-US" w:eastAsia="zh-CN"/>
              </w:rPr>
              <w:t>08</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1560" w:type="dxa"/>
            <w:gridSpan w:val="4"/>
          </w:tcPr>
          <w:p>
            <w:pPr>
              <w:pStyle w:val="65"/>
              <w:spacing w:after="0"/>
              <w:rPr>
                <w:sz w:val="8"/>
                <w:szCs w:val="8"/>
              </w:rPr>
            </w:pPr>
          </w:p>
        </w:tc>
        <w:tc>
          <w:tcPr>
            <w:tcW w:w="2694" w:type="dxa"/>
            <w:gridSpan w:val="3"/>
          </w:tcPr>
          <w:p>
            <w:pPr>
              <w:pStyle w:val="65"/>
              <w:spacing w:after="0"/>
              <w:rPr>
                <w:sz w:val="8"/>
                <w:szCs w:val="8"/>
              </w:rPr>
            </w:pPr>
          </w:p>
        </w:tc>
        <w:tc>
          <w:tcPr>
            <w:tcW w:w="1417" w:type="dxa"/>
            <w:gridSpan w:val="2"/>
          </w:tcPr>
          <w:p>
            <w:pPr>
              <w:pStyle w:val="65"/>
              <w:spacing w:after="0"/>
              <w:rPr>
                <w:sz w:val="8"/>
                <w:szCs w:val="8"/>
              </w:rPr>
            </w:pPr>
          </w:p>
        </w:tc>
        <w:tc>
          <w:tcPr>
            <w:tcW w:w="2127" w:type="dxa"/>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5"/>
              <w:tabs>
                <w:tab w:val="right" w:pos="1759"/>
              </w:tabs>
              <w:spacing w:after="0"/>
              <w:rPr>
                <w:b/>
                <w:i/>
              </w:rPr>
            </w:pPr>
            <w:r>
              <w:rPr>
                <w:b/>
                <w:i/>
              </w:rPr>
              <w:t>Category:</w:t>
            </w:r>
          </w:p>
        </w:tc>
        <w:tc>
          <w:tcPr>
            <w:tcW w:w="853" w:type="dxa"/>
            <w:shd w:val="pct30" w:color="FFFF00" w:fill="auto"/>
          </w:tcPr>
          <w:p>
            <w:pPr>
              <w:pStyle w:val="65"/>
              <w:spacing w:after="0"/>
              <w:ind w:left="100"/>
              <w:rPr>
                <w:rFonts w:hint="eastAsia" w:eastAsia="宋体"/>
                <w:b/>
                <w:lang w:eastAsia="zh-CN"/>
              </w:rPr>
            </w:pPr>
            <w:r>
              <w:rPr>
                <w:rFonts w:hint="eastAsia" w:eastAsia="宋体"/>
                <w:b/>
                <w:lang w:val="en-US" w:eastAsia="zh-CN"/>
              </w:rPr>
              <w:t>A</w:t>
            </w:r>
          </w:p>
        </w:tc>
        <w:tc>
          <w:tcPr>
            <w:tcW w:w="3401" w:type="dxa"/>
            <w:gridSpan w:val="6"/>
            <w:tcBorders>
              <w:left w:val="nil"/>
            </w:tcBorders>
            <w:shd w:val="clear" w:color="auto" w:fill="auto"/>
          </w:tcPr>
          <w:p>
            <w:pPr>
              <w:pStyle w:val="65"/>
              <w:spacing w:after="0"/>
            </w:pPr>
          </w:p>
        </w:tc>
        <w:tc>
          <w:tcPr>
            <w:tcW w:w="1417" w:type="dxa"/>
            <w:gridSpan w:val="2"/>
            <w:tcBorders>
              <w:left w:val="nil"/>
            </w:tcBorders>
            <w:shd w:val="clear" w:color="auto" w:fill="auto"/>
          </w:tcPr>
          <w:p>
            <w:pPr>
              <w:pStyle w:val="65"/>
              <w:spacing w:after="0"/>
              <w:jc w:val="right"/>
              <w:rPr>
                <w:b/>
                <w:i/>
              </w:rPr>
            </w:pPr>
            <w:r>
              <w:rPr>
                <w:b/>
                <w:i/>
              </w:rPr>
              <w:t>Release: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spacing w:after="0"/>
              <w:rPr>
                <w:b/>
                <w:i/>
              </w:rPr>
            </w:pPr>
          </w:p>
        </w:tc>
        <w:tc>
          <w:tcPr>
            <w:tcW w:w="4678" w:type="dxa"/>
            <w:gridSpan w:val="8"/>
            <w:tcBorders>
              <w:bottom w:val="single" w:color="auto" w:sz="4" w:space="0"/>
            </w:tcBorders>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spacing w:after="0"/>
              <w:rPr>
                <w:b/>
                <w:i/>
                <w:sz w:val="8"/>
                <w:szCs w:val="8"/>
              </w:rPr>
            </w:pPr>
          </w:p>
        </w:tc>
        <w:tc>
          <w:tcPr>
            <w:tcW w:w="7798" w:type="dxa"/>
            <w:gridSpan w:val="10"/>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lang w:val="en-US" w:eastAsia="zh-CN"/>
              </w:rPr>
            </w:pPr>
            <w:r>
              <w:rPr>
                <w:rFonts w:hint="eastAsia" w:eastAsia="宋体" w:cs="Arial"/>
                <w:sz w:val="20"/>
                <w:szCs w:val="20"/>
                <w:highlight w:val="none"/>
                <w:lang w:val="en-US" w:eastAsia="zh-CN"/>
              </w:rPr>
              <w:t>This is the mirror CR to R4-2114877.</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tcPr>
          <w:p>
            <w:pPr>
              <w:pStyle w:val="65"/>
              <w:tabs>
                <w:tab w:val="right" w:pos="2184"/>
              </w:tabs>
              <w:spacing w:after="0"/>
              <w:rPr>
                <w:b/>
                <w:i/>
              </w:rPr>
            </w:pPr>
            <w:r>
              <w:rPr>
                <w:b/>
                <w:i/>
              </w:rPr>
              <w:t>Summary of change:</w:t>
            </w:r>
          </w:p>
        </w:tc>
        <w:tc>
          <w:tcPr>
            <w:tcW w:w="6945" w:type="dxa"/>
            <w:gridSpan w:val="9"/>
            <w:tcBorders>
              <w:right w:val="single" w:color="auto" w:sz="4" w:space="0"/>
            </w:tcBorders>
            <w:shd w:val="pct30" w:color="FFFF00" w:fill="auto"/>
            <w:vAlign w:val="top"/>
          </w:tcPr>
          <w:p>
            <w:pPr>
              <w:keepNext w:val="0"/>
              <w:keepLines w:val="0"/>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Times New Roman" w:hAnsi="Times New Roman" w:eastAsia="宋体" w:cs="Arial"/>
                <w:sz w:val="20"/>
                <w:szCs w:val="20"/>
                <w:highlight w:val="none"/>
                <w:lang w:val="en-US" w:eastAsia="zh-CN"/>
              </w:rPr>
            </w:pPr>
            <w:r>
              <w:rPr>
                <w:rFonts w:hint="eastAsia" w:ascii="Times New Roman" w:hAnsi="Times New Roman" w:eastAsia="宋体" w:cs="Arial"/>
                <w:sz w:val="20"/>
                <w:szCs w:val="20"/>
                <w:highlight w:val="none"/>
                <w:lang w:val="en-US" w:eastAsia="zh-CN"/>
              </w:rPr>
              <w:t xml:space="preserve">The definition/description of some Tx requirements are added to support single carrier, i.e.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w:t>
            </w:r>
          </w:p>
          <w:p>
            <w:pPr>
              <w:keepNext w:val="0"/>
              <w:keepLines w:val="0"/>
              <w:pageBreakBefore w:val="0"/>
              <w:widowControl/>
              <w:numPr>
                <w:ilvl w:val="0"/>
                <w:numId w:val="0"/>
              </w:numPr>
              <w:kinsoku/>
              <w:wordWrap/>
              <w:overflowPunct/>
              <w:topLinePunct w:val="0"/>
              <w:autoSpaceDE/>
              <w:autoSpaceDN/>
              <w:bidi w:val="0"/>
              <w:adjustRightInd/>
              <w:snapToGrid/>
              <w:spacing w:after="120"/>
              <w:ind w:left="0" w:leftChars="0" w:firstLine="0" w:firstLineChars="0"/>
              <w:textAlignment w:val="auto"/>
              <w:outlineLvl w:val="9"/>
              <w:rPr>
                <w:rFonts w:ascii="Arial" w:hAnsi="Arial" w:eastAsia="宋体" w:cs="Arial"/>
                <w:sz w:val="21"/>
                <w:szCs w:val="22"/>
                <w:lang w:val="en-US" w:eastAsia="zh-CN"/>
              </w:rPr>
            </w:pPr>
            <w:r>
              <w:rPr>
                <w:lang w:eastAsia="zh-CN"/>
              </w:rPr>
              <w:t xml:space="preserve">Move the contents of hanging paragrap of requirments </w:t>
            </w:r>
            <w:r>
              <w:t>“inter-band carrier aggregation with one uplink carrier” in 6.3A into respective clauses.</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cs="Arial"/>
                <w:iCs/>
                <w:lang w:val="en-US" w:eastAsia="zh-CN"/>
              </w:rPr>
            </w:pPr>
            <w:r>
              <w:rPr>
                <w:rFonts w:hint="eastAsia" w:ascii="Times New Roman" w:hAnsi="Times New Roman" w:eastAsia="宋体" w:cs="Arial"/>
                <w:sz w:val="20"/>
                <w:szCs w:val="20"/>
                <w:highlight w:val="none"/>
                <w:lang w:val="en-US" w:eastAsia="zh-CN"/>
              </w:rPr>
              <w:t xml:space="preserve"> Incomplete inter-band UL CA requirements, meanwhile hanging paragrap which was not allowed by TS drafting rule remains in clause 6.3A.</w:t>
            </w:r>
          </w:p>
        </w:tc>
      </w:tr>
      <w:tr>
        <w:tblPrEx>
          <w:tblCellMar>
            <w:top w:w="0" w:type="dxa"/>
            <w:left w:w="42" w:type="dxa"/>
            <w:bottom w:w="0" w:type="dxa"/>
            <w:right w:w="42" w:type="dxa"/>
          </w:tblCellMar>
        </w:tblPrEx>
        <w:tc>
          <w:tcPr>
            <w:tcW w:w="2696" w:type="dxa"/>
            <w:gridSpan w:val="2"/>
          </w:tcPr>
          <w:p>
            <w:pPr>
              <w:pStyle w:val="65"/>
              <w:spacing w:after="0"/>
              <w:rPr>
                <w:b/>
                <w:i/>
                <w:sz w:val="8"/>
                <w:szCs w:val="8"/>
              </w:rPr>
            </w:pPr>
          </w:p>
        </w:tc>
        <w:tc>
          <w:tcPr>
            <w:tcW w:w="6945" w:type="dxa"/>
            <w:gridSpan w:val="9"/>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 xml:space="preserve">6.2A.2.3, </w:t>
            </w:r>
            <w:r>
              <w:t>6.2A.3.1.3</w:t>
            </w:r>
            <w:r>
              <w:rPr>
                <w:rFonts w:hint="eastAsia" w:eastAsia="宋体"/>
                <w:lang w:val="en-US" w:eastAsia="zh-CN"/>
              </w:rPr>
              <w:t xml:space="preserve">, 6.3A, </w:t>
            </w:r>
            <w:r>
              <w:t>6.3A.2.3</w:t>
            </w:r>
            <w:r>
              <w:rPr>
                <w:rFonts w:hint="eastAsia" w:eastAsia="宋体"/>
                <w:lang w:val="en-US" w:eastAsia="zh-CN"/>
              </w:rPr>
              <w:t xml:space="preserve">, </w:t>
            </w:r>
            <w:r>
              <w:t>6.3A.3.3</w:t>
            </w:r>
            <w:r>
              <w:rPr>
                <w:rFonts w:hint="eastAsia" w:eastAsia="宋体"/>
                <w:lang w:val="en-US" w:eastAsia="zh-CN"/>
              </w:rPr>
              <w:t xml:space="preserve">, </w:t>
            </w:r>
            <w:r>
              <w:t>6.4A.1.3</w:t>
            </w:r>
            <w:r>
              <w:rPr>
                <w:rFonts w:hint="eastAsia" w:eastAsia="宋体"/>
                <w:lang w:val="en-US" w:eastAsia="zh-CN"/>
              </w:rPr>
              <w:t xml:space="preserve">, </w:t>
            </w:r>
            <w:r>
              <w:t>6.4A.2.3</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65"/>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65"/>
              <w:spacing w:after="0"/>
              <w:jc w:val="center"/>
              <w:rPr>
                <w:b/>
                <w:caps/>
              </w:rPr>
            </w:pPr>
            <w:r>
              <w:rPr>
                <w:b/>
                <w:caps/>
              </w:rPr>
              <w:t>N</w:t>
            </w:r>
          </w:p>
        </w:tc>
        <w:tc>
          <w:tcPr>
            <w:tcW w:w="2819" w:type="dxa"/>
            <w:gridSpan w:val="3"/>
            <w:shd w:val="clear" w:color="auto" w:fill="auto"/>
          </w:tcPr>
          <w:p>
            <w:pPr>
              <w:pStyle w:val="65"/>
              <w:tabs>
                <w:tab w:val="right" w:pos="2893"/>
              </w:tabs>
              <w:spacing w:after="0"/>
            </w:pPr>
          </w:p>
        </w:tc>
        <w:tc>
          <w:tcPr>
            <w:tcW w:w="3564" w:type="dxa"/>
            <w:gridSpan w:val="4"/>
            <w:tcBorders>
              <w:right w:val="single" w:color="auto" w:sz="4" w:space="0"/>
            </w:tcBorders>
            <w:shd w:val="clear" w:color="FFFF00" w:fill="auto"/>
          </w:tcPr>
          <w:p>
            <w:pPr>
              <w:pStyle w:val="65"/>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p>
        </w:tc>
        <w:tc>
          <w:tcPr>
            <w:tcW w:w="2819" w:type="dxa"/>
            <w:gridSpan w:val="3"/>
            <w:shd w:val="clear" w:color="auto" w:fill="auto"/>
          </w:tcPr>
          <w:p>
            <w:pPr>
              <w:pStyle w:val="65"/>
              <w:spacing w:after="0"/>
            </w:pPr>
            <w:r>
              <w:t xml:space="preserve"> Test specifications</w:t>
            </w:r>
          </w:p>
        </w:tc>
        <w:tc>
          <w:tcPr>
            <w:tcW w:w="3564" w:type="dxa"/>
            <w:gridSpan w:val="4"/>
            <w:tcBorders>
              <w:right w:val="single" w:color="auto" w:sz="4" w:space="0"/>
            </w:tcBorders>
            <w:shd w:val="pct30" w:color="FFFF00" w:fill="auto"/>
          </w:tcPr>
          <w:p>
            <w:pPr>
              <w:pStyle w:val="65"/>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spacing w:after="0"/>
            </w:pPr>
            <w:r>
              <w:t xml:space="preserve"> O&amp;M Specifications</w:t>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rPr>
            </w:pPr>
          </w:p>
        </w:tc>
        <w:tc>
          <w:tcPr>
            <w:tcW w:w="6945" w:type="dxa"/>
            <w:gridSpan w:val="9"/>
            <w:tcBorders>
              <w:right w:val="single" w:color="auto" w:sz="4" w:space="0"/>
            </w:tcBorders>
          </w:tcPr>
          <w:p>
            <w:pPr>
              <w:pStyle w:val="6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65"/>
              <w:tabs>
                <w:tab w:val="left" w:pos="525"/>
              </w:tabs>
              <w:spacing w:after="0"/>
              <w:ind w:left="100"/>
            </w:pPr>
          </w:p>
        </w:tc>
      </w:tr>
    </w:tbl>
    <w:p>
      <w:pPr>
        <w:pStyle w:val="65"/>
        <w:spacing w:after="0"/>
        <w:rPr>
          <w:sz w:val="8"/>
          <w:szCs w:val="8"/>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65"/>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65"/>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2" w:name="_Toc502932909"/>
      <w:r>
        <w:rPr>
          <w:rFonts w:eastAsia="??"/>
          <w:color w:val="FF0000"/>
          <w:szCs w:val="32"/>
        </w:rPr>
        <w:t>&lt;&lt; Start of change &gt;&gt;</w:t>
      </w:r>
    </w:p>
    <w:bookmarkEnd w:id="2"/>
    <w:p>
      <w:pPr>
        <w:pStyle w:val="4"/>
      </w:pPr>
      <w:bookmarkStart w:id="3" w:name="_Toc67913637"/>
      <w:bookmarkStart w:id="4" w:name="_Toc29769875"/>
      <w:bookmarkStart w:id="5" w:name="_Toc21342914"/>
      <w:bookmarkStart w:id="6" w:name="_Toc37255241"/>
      <w:bookmarkStart w:id="7" w:name="_Toc37254598"/>
      <w:bookmarkStart w:id="8" w:name="_Toc29799374"/>
      <w:bookmarkStart w:id="9" w:name="_Toc75469453"/>
      <w:bookmarkStart w:id="10" w:name="_Toc53172003"/>
      <w:bookmarkStart w:id="11" w:name="_Toc61356768"/>
      <w:bookmarkStart w:id="12" w:name="_Toc45887266"/>
      <w:bookmarkStart w:id="13" w:name="OLE_LINK4"/>
      <w:r>
        <w:t>6.2A.2</w:t>
      </w:r>
      <w:r>
        <w:tab/>
      </w:r>
      <w:r>
        <w:t>UE maximum output power reduction for CA</w:t>
      </w:r>
      <w:bookmarkEnd w:id="3"/>
      <w:bookmarkEnd w:id="4"/>
      <w:bookmarkEnd w:id="5"/>
      <w:bookmarkEnd w:id="6"/>
      <w:bookmarkEnd w:id="7"/>
      <w:bookmarkEnd w:id="8"/>
      <w:bookmarkEnd w:id="9"/>
      <w:bookmarkEnd w:id="10"/>
      <w:bookmarkEnd w:id="11"/>
      <w:bookmarkEnd w:id="12"/>
    </w:p>
    <w:p>
      <w:pPr>
        <w:pStyle w:val="5"/>
      </w:pPr>
      <w:bookmarkStart w:id="14" w:name="_Toc29802796"/>
      <w:bookmarkStart w:id="15" w:name="_Toc45888708"/>
      <w:bookmarkStart w:id="16" w:name="_Toc36107538"/>
      <w:bookmarkStart w:id="17" w:name="_Toc29801747"/>
      <w:bookmarkStart w:id="18" w:name="_Toc21344261"/>
      <w:bookmarkStart w:id="19" w:name="_Toc45888109"/>
      <w:bookmarkStart w:id="20" w:name="_Toc37251304"/>
      <w:bookmarkStart w:id="21" w:name="_Toc29802171"/>
      <w:bookmarkStart w:id="22" w:name="_Toc59649989"/>
      <w:bookmarkStart w:id="23" w:name="_Toc61359027"/>
      <w:bookmarkStart w:id="24" w:name="_Toc61357253"/>
      <w:bookmarkStart w:id="25" w:name="_Toc75533508"/>
      <w:bookmarkStart w:id="26" w:name="_Toc76508238"/>
      <w:bookmarkStart w:id="27" w:name="_Toc67915964"/>
      <w:bookmarkStart w:id="28" w:name="_Toc76717188"/>
      <w:bookmarkStart w:id="29" w:name="_Toc75819394"/>
      <w:r>
        <w:t>6.2A.2.1</w:t>
      </w:r>
      <w:r>
        <w:tab/>
      </w:r>
      <w:bookmarkEnd w:id="14"/>
      <w:bookmarkEnd w:id="15"/>
      <w:bookmarkEnd w:id="16"/>
      <w:bookmarkEnd w:id="17"/>
      <w:bookmarkEnd w:id="18"/>
      <w:bookmarkEnd w:id="19"/>
      <w:bookmarkEnd w:id="20"/>
      <w:bookmarkEnd w:id="21"/>
      <w:r>
        <w:tab/>
      </w:r>
      <w:r>
        <w:t>UE maximum output power reduction for Intra-band contiguous CA</w:t>
      </w:r>
      <w:bookmarkEnd w:id="22"/>
      <w:bookmarkEnd w:id="23"/>
      <w:bookmarkEnd w:id="24"/>
      <w:bookmarkEnd w:id="25"/>
      <w:bookmarkEnd w:id="26"/>
      <w:bookmarkEnd w:id="27"/>
      <w:bookmarkEnd w:id="28"/>
      <w:bookmarkEnd w:id="29"/>
    </w:p>
    <w:p>
      <w:pPr>
        <w:rPr>
          <w:rFonts w:hint="default" w:eastAsia="宋体"/>
          <w:i/>
          <w:iCs/>
          <w:color w:val="FF0000"/>
          <w:lang w:val="en-US" w:eastAsia="zh-CN"/>
        </w:rPr>
      </w:pPr>
      <w:r>
        <w:rPr>
          <w:rFonts w:hint="eastAsia" w:eastAsia="宋体"/>
          <w:i/>
          <w:iCs/>
          <w:color w:val="FF0000"/>
          <w:lang w:val="en-US" w:eastAsia="zh-CN"/>
        </w:rPr>
        <w:t>&lt;Text not changed are omitted.&gt;</w:t>
      </w:r>
    </w:p>
    <w:p>
      <w:pPr>
        <w:pStyle w:val="5"/>
      </w:pPr>
      <w:bookmarkStart w:id="30" w:name="_Toc59649990"/>
      <w:bookmarkStart w:id="31" w:name="_Toc75819395"/>
      <w:bookmarkStart w:id="32" w:name="_Toc75533509"/>
      <w:bookmarkStart w:id="33" w:name="_Toc67915965"/>
      <w:bookmarkStart w:id="34" w:name="_Toc61359028"/>
      <w:bookmarkStart w:id="35" w:name="_Toc76717189"/>
      <w:bookmarkStart w:id="36" w:name="_Toc76508239"/>
      <w:bookmarkStart w:id="37" w:name="_Toc61357254"/>
      <w:r>
        <w:t>6.2A.2.2</w:t>
      </w:r>
      <w:r>
        <w:tab/>
      </w:r>
      <w:r>
        <w:t>UE maximum output power reduction for Intra-band non-contiguous CA</w:t>
      </w:r>
      <w:bookmarkEnd w:id="30"/>
      <w:bookmarkEnd w:id="31"/>
      <w:bookmarkEnd w:id="32"/>
      <w:bookmarkEnd w:id="33"/>
      <w:bookmarkEnd w:id="34"/>
      <w:bookmarkEnd w:id="35"/>
      <w:bookmarkEnd w:id="36"/>
      <w:bookmarkEnd w:id="37"/>
    </w:p>
    <w:p>
      <w:r>
        <w:rPr>
          <w:rFonts w:hint="eastAsia" w:eastAsia="宋体"/>
          <w:i/>
          <w:iCs/>
          <w:color w:val="FF0000"/>
          <w:lang w:val="en-US" w:eastAsia="zh-CN"/>
        </w:rPr>
        <w:t>&lt;Text not changed are omitted.&gt;</w:t>
      </w:r>
    </w:p>
    <w:p>
      <w:pPr>
        <w:pStyle w:val="5"/>
      </w:pPr>
      <w:bookmarkStart w:id="38" w:name="_Toc29769878"/>
      <w:bookmarkStart w:id="39" w:name="_Toc75469456"/>
      <w:bookmarkStart w:id="40" w:name="_Toc45887269"/>
      <w:bookmarkStart w:id="41" w:name="_Toc61356771"/>
      <w:bookmarkStart w:id="42" w:name="_Toc21342917"/>
      <w:bookmarkStart w:id="43" w:name="_Toc37254601"/>
      <w:bookmarkStart w:id="44" w:name="_Toc29799377"/>
      <w:bookmarkStart w:id="45" w:name="_Toc67913640"/>
      <w:bookmarkStart w:id="46" w:name="_Toc37255244"/>
      <w:bookmarkStart w:id="47" w:name="_Toc53172006"/>
      <w:r>
        <w:t>6.2A.2.3</w:t>
      </w:r>
      <w:r>
        <w:tab/>
      </w:r>
      <w:r>
        <w:t>UE maximum output power reduction for Inter-band CA</w:t>
      </w:r>
      <w:bookmarkEnd w:id="38"/>
      <w:bookmarkEnd w:id="39"/>
      <w:bookmarkEnd w:id="40"/>
      <w:bookmarkEnd w:id="41"/>
      <w:bookmarkEnd w:id="42"/>
      <w:bookmarkEnd w:id="43"/>
      <w:bookmarkEnd w:id="44"/>
      <w:bookmarkEnd w:id="45"/>
      <w:bookmarkEnd w:id="46"/>
      <w:bookmarkEnd w:id="47"/>
    </w:p>
    <w:p>
      <w:pPr>
        <w:rPr>
          <w:rFonts w:hint="eastAsia" w:eastAsia="宋体"/>
          <w:lang w:val="en-US" w:eastAsia="zh-CN"/>
        </w:rPr>
      </w:pPr>
      <w:ins w:id="0" w:author="ZTE_wubin" w:date="2021-08-26T11:03:49Z">
        <w:r>
          <w:rPr/>
          <w:t xml:space="preserve">For inter-band carrier aggregation with one uplink carrier assigned to one </w:t>
        </w:r>
      </w:ins>
      <w:ins w:id="1" w:author="ZTE_wubin" w:date="2021-08-26T11:03:49Z">
        <w:r>
          <w:rPr>
            <w:rFonts w:hint="eastAsia" w:eastAsia="宋体"/>
            <w:lang w:val="en-US" w:eastAsia="zh-CN"/>
          </w:rPr>
          <w:t>NR</w:t>
        </w:r>
      </w:ins>
      <w:ins w:id="2" w:author="ZTE_wubin" w:date="2021-08-26T11:03:49Z">
        <w:r>
          <w:rPr/>
          <w:t xml:space="preserve"> band, the requirements in subclause 6.2.</w:t>
        </w:r>
      </w:ins>
      <w:ins w:id="3" w:author="ZTE_wubin" w:date="2021-08-26T11:03:49Z">
        <w:r>
          <w:rPr>
            <w:rFonts w:hint="eastAsia" w:eastAsia="宋体"/>
            <w:lang w:val="en-US" w:eastAsia="zh-CN"/>
          </w:rPr>
          <w:t>2</w:t>
        </w:r>
      </w:ins>
      <w:ins w:id="4" w:author="ZTE_wubin" w:date="2021-08-26T11:03:49Z">
        <w:r>
          <w:rPr/>
          <w:t xml:space="preserve"> apply.</w:t>
        </w:r>
      </w:ins>
      <w:ins w:id="5" w:author="ZTE_wubin" w:date="2021-08-26T11:03:49Z">
        <w:r>
          <w:rPr>
            <w:rFonts w:hint="eastAsia" w:eastAsia="宋体"/>
            <w:lang w:val="en-US" w:eastAsia="zh-CN"/>
          </w:rPr>
          <w:t xml:space="preserve"> </w:t>
        </w:r>
      </w:ins>
    </w:p>
    <w:p>
      <w:r>
        <w:t>For inter-band carrier aggregation with uplink assigned to two NR bands, the requirements in clause 6.2.2 apply for each uplink component carrier.</w:t>
      </w:r>
    </w:p>
    <w:p>
      <w:pPr>
        <w:pStyle w:val="5"/>
      </w:pPr>
      <w:bookmarkStart w:id="48" w:name="_Toc45888711"/>
      <w:bookmarkStart w:id="49" w:name="_Toc45888112"/>
      <w:bookmarkStart w:id="50" w:name="_Toc61367355"/>
      <w:bookmarkStart w:id="51" w:name="_Toc61372738"/>
      <w:bookmarkStart w:id="52" w:name="_Toc76718113"/>
      <w:bookmarkStart w:id="53" w:name="_Toc76509123"/>
      <w:bookmarkStart w:id="54" w:name="_Toc68230679"/>
      <w:bookmarkStart w:id="55" w:name="_Toc75467101"/>
      <w:bookmarkStart w:id="56" w:name="_Toc69084092"/>
      <w:r>
        <w:t>6.2A.2.4</w:t>
      </w:r>
      <w:r>
        <w:tab/>
      </w:r>
      <w:bookmarkEnd w:id="48"/>
      <w:bookmarkEnd w:id="49"/>
      <w:r>
        <w:t>Void</w:t>
      </w:r>
      <w:bookmarkEnd w:id="50"/>
      <w:bookmarkEnd w:id="51"/>
      <w:bookmarkEnd w:id="52"/>
      <w:bookmarkEnd w:id="53"/>
      <w:bookmarkEnd w:id="54"/>
      <w:bookmarkEnd w:id="55"/>
      <w:bookmarkEnd w:id="56"/>
    </w:p>
    <w:p>
      <w:pPr>
        <w:pStyle w:val="4"/>
      </w:pPr>
      <w:bookmarkStart w:id="57" w:name="_Toc67913641"/>
      <w:bookmarkStart w:id="58" w:name="_Toc37255245"/>
      <w:bookmarkStart w:id="59" w:name="_Toc61356772"/>
      <w:bookmarkStart w:id="60" w:name="_Toc21342918"/>
      <w:bookmarkStart w:id="61" w:name="_Toc45887270"/>
      <w:bookmarkStart w:id="62" w:name="_Toc75469457"/>
      <w:bookmarkStart w:id="63" w:name="_Toc29769879"/>
      <w:bookmarkStart w:id="64" w:name="_Toc53172007"/>
      <w:bookmarkStart w:id="65" w:name="_Toc29799378"/>
      <w:bookmarkStart w:id="66" w:name="_Toc37254602"/>
      <w:r>
        <w:t>6.2A.3</w:t>
      </w:r>
      <w:r>
        <w:tab/>
      </w:r>
      <w:r>
        <w:t>UE additional maximum output power reduction for CA</w:t>
      </w:r>
      <w:bookmarkEnd w:id="57"/>
      <w:bookmarkEnd w:id="58"/>
      <w:bookmarkEnd w:id="59"/>
      <w:bookmarkEnd w:id="60"/>
      <w:bookmarkEnd w:id="61"/>
      <w:bookmarkEnd w:id="62"/>
      <w:bookmarkEnd w:id="63"/>
      <w:bookmarkEnd w:id="64"/>
      <w:bookmarkEnd w:id="65"/>
      <w:bookmarkEnd w:id="66"/>
    </w:p>
    <w:p>
      <w:pPr>
        <w:pStyle w:val="5"/>
      </w:pPr>
      <w:bookmarkStart w:id="67" w:name="_Toc36107542"/>
      <w:bookmarkStart w:id="68" w:name="_Toc21344265"/>
      <w:bookmarkStart w:id="69" w:name="_Toc45888713"/>
      <w:bookmarkStart w:id="70" w:name="_Toc45888114"/>
      <w:bookmarkStart w:id="71" w:name="_Toc29801751"/>
      <w:bookmarkStart w:id="72" w:name="_Toc29802800"/>
      <w:bookmarkStart w:id="73" w:name="_Toc29802175"/>
      <w:bookmarkStart w:id="74" w:name="_Toc37251308"/>
      <w:bookmarkStart w:id="75" w:name="_Toc75819401"/>
      <w:bookmarkStart w:id="76" w:name="_Toc76717195"/>
      <w:bookmarkStart w:id="77" w:name="_Toc59649996"/>
      <w:bookmarkStart w:id="78" w:name="_Toc76508245"/>
      <w:bookmarkStart w:id="79" w:name="_Toc67915971"/>
      <w:bookmarkStart w:id="80" w:name="_Toc75533515"/>
      <w:bookmarkStart w:id="81" w:name="_Toc61357260"/>
      <w:bookmarkStart w:id="82" w:name="_Toc61359034"/>
      <w:r>
        <w:t>6.2A.3.1.1</w:t>
      </w:r>
      <w:r>
        <w:tab/>
      </w:r>
      <w:bookmarkEnd w:id="67"/>
      <w:bookmarkEnd w:id="68"/>
      <w:bookmarkEnd w:id="69"/>
      <w:bookmarkEnd w:id="70"/>
      <w:bookmarkEnd w:id="71"/>
      <w:bookmarkEnd w:id="72"/>
      <w:bookmarkEnd w:id="73"/>
      <w:bookmarkEnd w:id="74"/>
      <w:r>
        <w:t xml:space="preserve"> UE additional maximum output power reduction for Intra-band contiguous CA</w:t>
      </w:r>
      <w:bookmarkEnd w:id="75"/>
      <w:bookmarkEnd w:id="76"/>
      <w:bookmarkEnd w:id="77"/>
      <w:bookmarkEnd w:id="78"/>
      <w:bookmarkEnd w:id="79"/>
      <w:bookmarkEnd w:id="80"/>
      <w:bookmarkEnd w:id="81"/>
      <w:bookmarkEnd w:id="82"/>
    </w:p>
    <w:p>
      <w:r>
        <w:rPr>
          <w:rFonts w:hint="eastAsia" w:eastAsia="宋体"/>
          <w:i/>
          <w:iCs/>
          <w:color w:val="FF0000"/>
          <w:lang w:val="en-US" w:eastAsia="zh-CN"/>
        </w:rPr>
        <w:t>&lt;Text not changed are omitted.&gt;</w:t>
      </w:r>
    </w:p>
    <w:p>
      <w:pPr>
        <w:pStyle w:val="6"/>
      </w:pPr>
      <w:bookmarkStart w:id="83" w:name="_Toc29802176"/>
      <w:bookmarkStart w:id="84" w:name="_Toc45888115"/>
      <w:bookmarkStart w:id="85" w:name="_Toc29801752"/>
      <w:bookmarkStart w:id="86" w:name="_Toc37251309"/>
      <w:bookmarkStart w:id="87" w:name="_Toc21344266"/>
      <w:bookmarkStart w:id="88" w:name="_Toc45888714"/>
      <w:bookmarkStart w:id="89" w:name="_Toc36107543"/>
      <w:bookmarkStart w:id="90" w:name="_Toc29802801"/>
      <w:bookmarkStart w:id="91" w:name="_Toc76508247"/>
      <w:bookmarkStart w:id="92" w:name="_Toc61359036"/>
      <w:bookmarkStart w:id="93" w:name="_Toc59649998"/>
      <w:bookmarkStart w:id="94" w:name="_Toc75819403"/>
      <w:bookmarkStart w:id="95" w:name="_Toc76717197"/>
      <w:bookmarkStart w:id="96" w:name="_Toc75533517"/>
      <w:bookmarkStart w:id="97" w:name="_Toc67915973"/>
      <w:bookmarkStart w:id="98" w:name="_Toc61357262"/>
      <w:r>
        <w:t>6.2A.3.1.2</w:t>
      </w:r>
      <w:r>
        <w:tab/>
      </w:r>
      <w:bookmarkEnd w:id="83"/>
      <w:bookmarkEnd w:id="84"/>
      <w:bookmarkEnd w:id="85"/>
      <w:bookmarkEnd w:id="86"/>
      <w:bookmarkEnd w:id="87"/>
      <w:bookmarkEnd w:id="88"/>
      <w:bookmarkEnd w:id="89"/>
      <w:bookmarkEnd w:id="90"/>
      <w:r>
        <w:t>UE additional maximum output power reduction for Intra-band non-contiguous CA</w:t>
      </w:r>
      <w:bookmarkEnd w:id="91"/>
      <w:bookmarkEnd w:id="92"/>
      <w:bookmarkEnd w:id="93"/>
      <w:bookmarkEnd w:id="94"/>
      <w:bookmarkEnd w:id="95"/>
      <w:bookmarkEnd w:id="96"/>
      <w:bookmarkEnd w:id="97"/>
      <w:bookmarkEnd w:id="98"/>
    </w:p>
    <w:p>
      <w:r>
        <w:rPr>
          <w:rFonts w:hint="eastAsia" w:eastAsia="宋体"/>
          <w:i/>
          <w:iCs/>
          <w:color w:val="FF0000"/>
          <w:lang w:val="en-US" w:eastAsia="zh-CN"/>
        </w:rPr>
        <w:t>&lt;Text not changed are omitted.&gt;</w:t>
      </w:r>
    </w:p>
    <w:p>
      <w:pPr>
        <w:pStyle w:val="6"/>
      </w:pPr>
      <w:bookmarkStart w:id="99" w:name="_Toc21342921"/>
      <w:bookmarkStart w:id="100" w:name="_Toc45887273"/>
      <w:bookmarkStart w:id="101" w:name="_Toc75469460"/>
      <w:bookmarkStart w:id="102" w:name="_Toc67913644"/>
      <w:bookmarkStart w:id="103" w:name="_Toc61356775"/>
      <w:bookmarkStart w:id="104" w:name="_Toc29769882"/>
      <w:bookmarkStart w:id="105" w:name="_Toc37254605"/>
      <w:bookmarkStart w:id="106" w:name="_Toc29799381"/>
      <w:bookmarkStart w:id="107" w:name="_Toc53172010"/>
      <w:bookmarkStart w:id="108" w:name="_Toc37255248"/>
      <w:r>
        <w:t>6.2A.3.1.3</w:t>
      </w:r>
      <w:r>
        <w:tab/>
      </w:r>
      <w:r>
        <w:t>UE additional maximum output power reduction for Inter-band CA</w:t>
      </w:r>
      <w:bookmarkEnd w:id="99"/>
      <w:bookmarkEnd w:id="100"/>
      <w:bookmarkEnd w:id="101"/>
      <w:bookmarkEnd w:id="102"/>
      <w:bookmarkEnd w:id="103"/>
      <w:bookmarkEnd w:id="104"/>
      <w:bookmarkEnd w:id="105"/>
      <w:bookmarkEnd w:id="106"/>
      <w:bookmarkEnd w:id="107"/>
      <w:bookmarkEnd w:id="108"/>
    </w:p>
    <w:p>
      <w:r>
        <w:t xml:space="preserve">Unless otherwise stated, </w:t>
      </w:r>
      <w:ins w:id="6" w:author="ZTE_wubin" w:date="2021-07-05T15:23:00Z">
        <w:r>
          <w:rPr>
            <w:rFonts w:hint="eastAsia" w:eastAsia="宋体"/>
            <w:lang w:val="en-US" w:eastAsia="zh-CN"/>
          </w:rPr>
          <w:t>f</w:t>
        </w:r>
      </w:ins>
      <w:ins w:id="7" w:author="ZTE_wubin" w:date="2021-07-05T15:21:00Z">
        <w:r>
          <w:rPr/>
          <w:t xml:space="preserve">or inter-band carrier aggregation with one uplink carrier assigned to one </w:t>
        </w:r>
      </w:ins>
      <w:ins w:id="8" w:author="ZTE_wubin" w:date="2021-07-05T15:21:00Z">
        <w:r>
          <w:rPr>
            <w:rFonts w:hint="eastAsia" w:eastAsia="宋体"/>
            <w:lang w:val="en-US" w:eastAsia="zh-CN"/>
          </w:rPr>
          <w:t>NR</w:t>
        </w:r>
      </w:ins>
      <w:ins w:id="9" w:author="ZTE_wubin" w:date="2021-07-05T15:21:00Z">
        <w:r>
          <w:rPr/>
          <w:t xml:space="preserve"> band, the requirements in subclause 6.2.</w:t>
        </w:r>
      </w:ins>
      <w:ins w:id="10" w:author="ZTE_wubin" w:date="2021-07-05T15:23:00Z">
        <w:r>
          <w:rPr>
            <w:rFonts w:hint="eastAsia" w:eastAsia="宋体"/>
            <w:lang w:val="en-US" w:eastAsia="zh-CN"/>
          </w:rPr>
          <w:t>3</w:t>
        </w:r>
      </w:ins>
      <w:ins w:id="11" w:author="ZTE_wubin" w:date="2021-07-05T15:21:00Z">
        <w:r>
          <w:rPr/>
          <w:t xml:space="preserve"> apply</w:t>
        </w:r>
      </w:ins>
      <w:ins w:id="12" w:author="ZTE_wubin" w:date="2021-07-05T15:24:00Z">
        <w:r>
          <w:rPr>
            <w:rFonts w:hint="eastAsia" w:eastAsia="宋体"/>
            <w:lang w:val="en-US" w:eastAsia="zh-CN"/>
          </w:rPr>
          <w:t>,</w:t>
        </w:r>
      </w:ins>
      <w:r>
        <w:rPr>
          <w:rFonts w:hint="eastAsia" w:eastAsia="宋体"/>
          <w:lang w:val="en-US" w:eastAsia="zh-CN"/>
        </w:rPr>
        <w:t xml:space="preserve"> </w:t>
      </w:r>
      <w:r>
        <w:t>for inter-band carrier aggregation with uplink assigned to two NR bands, the requirements in clause 6.2.3 apply for each uplink component carrier.</w:t>
      </w:r>
    </w:p>
    <w:p>
      <w:pPr>
        <w:pStyle w:val="3"/>
        <w:rPr>
          <w:rFonts w:eastAsia="宋体"/>
          <w:color w:val="FF0000"/>
          <w:szCs w:val="32"/>
          <w:lang w:val="en-US" w:eastAsia="zh-CN"/>
        </w:rPr>
      </w:pPr>
      <w:r>
        <w:rPr>
          <w:rFonts w:hint="eastAsia" w:eastAsia="宋体"/>
          <w:color w:val="FF0000"/>
          <w:szCs w:val="32"/>
          <w:lang w:val="en-US" w:eastAsia="zh-CN"/>
        </w:rPr>
        <w:t>&lt;Next change&gt;</w:t>
      </w:r>
    </w:p>
    <w:p>
      <w:pPr>
        <w:pStyle w:val="3"/>
      </w:pPr>
      <w:bookmarkStart w:id="109" w:name="_Toc29799418"/>
      <w:bookmarkStart w:id="110" w:name="_Toc75469497"/>
      <w:bookmarkStart w:id="111" w:name="_Toc29769919"/>
      <w:bookmarkStart w:id="112" w:name="_Toc21342958"/>
      <w:bookmarkStart w:id="113" w:name="_Toc45887310"/>
      <w:bookmarkStart w:id="114" w:name="_Toc37255285"/>
      <w:bookmarkStart w:id="115" w:name="_Toc67913681"/>
      <w:bookmarkStart w:id="116" w:name="_Toc76507987"/>
      <w:bookmarkStart w:id="117" w:name="_Toc53172047"/>
      <w:bookmarkStart w:id="118" w:name="_Toc37254642"/>
      <w:bookmarkStart w:id="119" w:name="_Toc61356812"/>
      <w:r>
        <w:t>6.3A</w:t>
      </w:r>
      <w:r>
        <w:tab/>
      </w:r>
      <w:r>
        <w:t>Output power dynamics for CA</w:t>
      </w:r>
      <w:bookmarkEnd w:id="109"/>
      <w:bookmarkEnd w:id="110"/>
      <w:bookmarkEnd w:id="111"/>
      <w:bookmarkEnd w:id="112"/>
      <w:bookmarkEnd w:id="113"/>
      <w:bookmarkEnd w:id="114"/>
      <w:bookmarkEnd w:id="115"/>
      <w:bookmarkEnd w:id="116"/>
      <w:bookmarkEnd w:id="117"/>
      <w:bookmarkEnd w:id="118"/>
      <w:bookmarkEnd w:id="119"/>
    </w:p>
    <w:p>
      <w:pPr>
        <w:rPr>
          <w:del w:id="13" w:author="ZTE_wubin" w:date="2021-08-26T11:04:33Z"/>
        </w:rPr>
      </w:pPr>
      <w:del w:id="14" w:author="ZTE_wubin" w:date="2021-08-26T11:04:33Z">
        <w:r>
          <w:rPr/>
          <w:delText>For inter-band carrier aggregation with one uplink carrier assigned to one NR band, the output power dynamics requirements in clause 6.3 apply.</w:delText>
        </w:r>
      </w:del>
    </w:p>
    <w:p>
      <w:pPr>
        <w:pStyle w:val="5"/>
      </w:pPr>
      <w:bookmarkStart w:id="120" w:name="_Toc76508330"/>
      <w:bookmarkStart w:id="121" w:name="_Toc59650080"/>
      <w:bookmarkStart w:id="122" w:name="_Toc75533600"/>
      <w:bookmarkStart w:id="123" w:name="_Toc61359118"/>
      <w:bookmarkStart w:id="124" w:name="_Toc76717280"/>
      <w:bookmarkStart w:id="125" w:name="_Toc61357344"/>
      <w:bookmarkStart w:id="126" w:name="_Toc75819486"/>
      <w:bookmarkStart w:id="127" w:name="_Toc67916056"/>
      <w:bookmarkStart w:id="128" w:name="_Toc29801792"/>
      <w:bookmarkStart w:id="129" w:name="_Toc29802841"/>
      <w:bookmarkStart w:id="130" w:name="_Toc45888180"/>
      <w:bookmarkStart w:id="131" w:name="_Toc36107583"/>
      <w:bookmarkStart w:id="132" w:name="_Toc21344306"/>
      <w:bookmarkStart w:id="133" w:name="_Toc37251349"/>
      <w:bookmarkStart w:id="134" w:name="_Toc29802216"/>
      <w:bookmarkStart w:id="135" w:name="_Toc45888779"/>
      <w:bookmarkStart w:id="136" w:name="_Toc75469501"/>
      <w:bookmarkStart w:id="137" w:name="_Toc53172051"/>
      <w:bookmarkStart w:id="138" w:name="_Toc45887314"/>
      <w:bookmarkStart w:id="139" w:name="_Toc37254646"/>
      <w:bookmarkStart w:id="140" w:name="_Toc76507991"/>
      <w:bookmarkStart w:id="141" w:name="_Toc61356816"/>
      <w:bookmarkStart w:id="142" w:name="_Toc21342962"/>
      <w:bookmarkStart w:id="143" w:name="_Toc29799422"/>
      <w:bookmarkStart w:id="144" w:name="_Toc37255289"/>
      <w:bookmarkStart w:id="145" w:name="_Toc29769923"/>
      <w:bookmarkStart w:id="146" w:name="_Toc67913685"/>
      <w:r>
        <w:t>6.3A.1.1</w:t>
      </w:r>
      <w:r>
        <w:tab/>
      </w:r>
      <w:r>
        <w:t>Minimum output power for intra-band contiguous CA</w:t>
      </w:r>
      <w:bookmarkEnd w:id="120"/>
      <w:bookmarkEnd w:id="121"/>
      <w:bookmarkEnd w:id="122"/>
      <w:bookmarkEnd w:id="123"/>
      <w:bookmarkEnd w:id="124"/>
      <w:bookmarkEnd w:id="125"/>
      <w:bookmarkEnd w:id="126"/>
      <w:bookmarkEnd w:id="127"/>
    </w:p>
    <w:p>
      <w:r>
        <w:t>For intra-band contiguous carrier aggregation, the minimum output power is defined per carrier and the requirement is specified in clause 6.3.1.</w:t>
      </w:r>
    </w:p>
    <w:bookmarkEnd w:id="128"/>
    <w:bookmarkEnd w:id="129"/>
    <w:bookmarkEnd w:id="130"/>
    <w:bookmarkEnd w:id="131"/>
    <w:bookmarkEnd w:id="132"/>
    <w:bookmarkEnd w:id="133"/>
    <w:bookmarkEnd w:id="134"/>
    <w:bookmarkEnd w:id="135"/>
    <w:p>
      <w:pPr>
        <w:pStyle w:val="5"/>
      </w:pPr>
      <w:bookmarkStart w:id="147" w:name="_Toc67916057"/>
      <w:bookmarkStart w:id="148" w:name="_Toc76508331"/>
      <w:bookmarkStart w:id="149" w:name="_Toc61357345"/>
      <w:bookmarkStart w:id="150" w:name="_Toc61359119"/>
      <w:bookmarkStart w:id="151" w:name="_Toc75533601"/>
      <w:bookmarkStart w:id="152" w:name="_Toc76717281"/>
      <w:bookmarkStart w:id="153" w:name="_Toc75819487"/>
      <w:bookmarkStart w:id="154" w:name="_Toc29801793"/>
      <w:bookmarkStart w:id="155" w:name="_Toc29802842"/>
      <w:bookmarkStart w:id="156" w:name="_Toc45888780"/>
      <w:bookmarkStart w:id="157" w:name="_Toc29802217"/>
      <w:bookmarkStart w:id="158" w:name="_Toc36107584"/>
      <w:bookmarkStart w:id="159" w:name="_Toc21344307"/>
      <w:bookmarkStart w:id="160" w:name="_Toc45888181"/>
      <w:bookmarkStart w:id="161" w:name="_Toc37251350"/>
      <w:r>
        <w:t>6.3A.1.2</w:t>
      </w:r>
      <w:r>
        <w:tab/>
      </w:r>
      <w:r>
        <w:t>Minimum output power for intra-band non-contiguous CA</w:t>
      </w:r>
      <w:bookmarkEnd w:id="147"/>
      <w:bookmarkEnd w:id="148"/>
      <w:bookmarkEnd w:id="149"/>
      <w:bookmarkEnd w:id="150"/>
      <w:bookmarkEnd w:id="151"/>
      <w:bookmarkEnd w:id="152"/>
      <w:bookmarkEnd w:id="153"/>
    </w:p>
    <w:p>
      <w:r>
        <w:t>For intra-band non-contiguous carrier aggregation, the minimum output power is defined per carrier and the requirement is specified in clause 6.3.1.</w:t>
      </w:r>
    </w:p>
    <w:bookmarkEnd w:id="154"/>
    <w:bookmarkEnd w:id="155"/>
    <w:bookmarkEnd w:id="156"/>
    <w:bookmarkEnd w:id="157"/>
    <w:bookmarkEnd w:id="158"/>
    <w:bookmarkEnd w:id="159"/>
    <w:bookmarkEnd w:id="160"/>
    <w:bookmarkEnd w:id="161"/>
    <w:p>
      <w:pPr>
        <w:pStyle w:val="5"/>
      </w:pPr>
      <w:r>
        <w:t>6.3A.1.3</w:t>
      </w:r>
      <w:r>
        <w:tab/>
      </w:r>
      <w:r>
        <w:t>Minimum output power for inter-band CA</w:t>
      </w:r>
      <w:bookmarkEnd w:id="136"/>
      <w:bookmarkEnd w:id="137"/>
      <w:bookmarkEnd w:id="138"/>
      <w:bookmarkEnd w:id="139"/>
      <w:bookmarkEnd w:id="140"/>
      <w:bookmarkEnd w:id="141"/>
      <w:bookmarkEnd w:id="142"/>
      <w:bookmarkEnd w:id="143"/>
      <w:bookmarkEnd w:id="144"/>
      <w:bookmarkEnd w:id="145"/>
      <w:bookmarkEnd w:id="146"/>
    </w:p>
    <w:p>
      <w:pPr>
        <w:rPr>
          <w:rFonts w:hint="eastAsia" w:eastAsia="宋体"/>
          <w:lang w:val="en-US" w:eastAsia="zh-CN"/>
        </w:rPr>
      </w:pPr>
      <w:ins w:id="15" w:author="ZTE_wubin" w:date="2021-08-26T11:04:42Z">
        <w:r>
          <w:rPr/>
          <w:t>For inter-band carrier aggregation with one uplink carrier assigned to one NR band, the minimum output power requirements in clause 6.3.1 apply.</w:t>
        </w:r>
      </w:ins>
      <w:ins w:id="16" w:author="ZTE_wubin" w:date="2021-08-26T11:04:42Z">
        <w:r>
          <w:rPr>
            <w:rFonts w:hint="eastAsia" w:eastAsia="宋体"/>
            <w:lang w:val="en-US" w:eastAsia="zh-CN"/>
          </w:rPr>
          <w:t xml:space="preserve"> </w:t>
        </w:r>
      </w:ins>
    </w:p>
    <w:p>
      <w:r>
        <w:t>For inter-band carrier aggregation with uplink assigned to two NR bands, the minimum output power is defined per carrier and the requirement is specified in clause 6.3.1.</w:t>
      </w:r>
    </w:p>
    <w:p>
      <w:pPr>
        <w:pStyle w:val="5"/>
        <w:rPr>
          <w:lang w:val="en-US" w:eastAsia="zh-CN"/>
        </w:rPr>
      </w:pPr>
      <w:bookmarkStart w:id="162" w:name="_Toc45888782"/>
      <w:bookmarkStart w:id="163" w:name="_Toc45888183"/>
      <w:bookmarkStart w:id="164" w:name="_Toc69084181"/>
      <w:bookmarkStart w:id="165" w:name="_Toc61367444"/>
      <w:bookmarkStart w:id="166" w:name="_Toc75467191"/>
      <w:bookmarkStart w:id="167" w:name="_Toc68230768"/>
      <w:bookmarkStart w:id="168" w:name="_Toc76509213"/>
      <w:bookmarkStart w:id="169" w:name="_Toc61372827"/>
      <w:bookmarkStart w:id="170" w:name="_Toc76718203"/>
      <w:r>
        <w:t>6.3A.1.4</w:t>
      </w:r>
      <w:r>
        <w:tab/>
      </w:r>
      <w:bookmarkEnd w:id="162"/>
      <w:bookmarkEnd w:id="163"/>
      <w:r>
        <w:t>Void</w:t>
      </w:r>
      <w:bookmarkEnd w:id="164"/>
      <w:bookmarkEnd w:id="165"/>
      <w:bookmarkEnd w:id="166"/>
      <w:bookmarkEnd w:id="167"/>
      <w:bookmarkEnd w:id="168"/>
      <w:bookmarkEnd w:id="169"/>
      <w:bookmarkEnd w:id="170"/>
    </w:p>
    <w:p>
      <w:pPr>
        <w:pStyle w:val="4"/>
      </w:pPr>
      <w:bookmarkStart w:id="171" w:name="_Toc29769924"/>
      <w:bookmarkStart w:id="172" w:name="_Toc67913686"/>
      <w:bookmarkStart w:id="173" w:name="_Toc53172052"/>
      <w:bookmarkStart w:id="174" w:name="_Toc61356817"/>
      <w:bookmarkStart w:id="175" w:name="_Toc45887315"/>
      <w:bookmarkStart w:id="176" w:name="_Toc37255290"/>
      <w:bookmarkStart w:id="177" w:name="_Toc29799423"/>
      <w:bookmarkStart w:id="178" w:name="_Toc75469502"/>
      <w:bookmarkStart w:id="179" w:name="_Toc37254647"/>
      <w:bookmarkStart w:id="180" w:name="_Toc21342963"/>
      <w:r>
        <w:t>6.3A.2</w:t>
      </w:r>
      <w:r>
        <w:tab/>
      </w:r>
      <w:r>
        <w:t>Transmit OFF power for CA</w:t>
      </w:r>
      <w:bookmarkEnd w:id="171"/>
      <w:bookmarkEnd w:id="172"/>
      <w:bookmarkEnd w:id="173"/>
      <w:bookmarkEnd w:id="174"/>
      <w:bookmarkEnd w:id="175"/>
      <w:bookmarkEnd w:id="176"/>
      <w:bookmarkEnd w:id="177"/>
      <w:bookmarkEnd w:id="178"/>
      <w:bookmarkEnd w:id="179"/>
      <w:bookmarkEnd w:id="180"/>
    </w:p>
    <w:p>
      <w:pPr>
        <w:pStyle w:val="5"/>
      </w:pPr>
      <w:bookmarkStart w:id="181" w:name="_Toc29802220"/>
      <w:bookmarkStart w:id="182" w:name="_Toc75533605"/>
      <w:bookmarkStart w:id="183" w:name="_Toc61357349"/>
      <w:bookmarkStart w:id="184" w:name="_Toc36107587"/>
      <w:bookmarkStart w:id="185" w:name="_Toc37251353"/>
      <w:bookmarkStart w:id="186" w:name="_Toc29801796"/>
      <w:bookmarkStart w:id="187" w:name="_Toc75819491"/>
      <w:bookmarkStart w:id="188" w:name="_Toc76508335"/>
      <w:bookmarkStart w:id="189" w:name="_Toc76717285"/>
      <w:bookmarkStart w:id="190" w:name="_Toc61359123"/>
      <w:bookmarkStart w:id="191" w:name="_Toc29802845"/>
      <w:bookmarkStart w:id="192" w:name="_Toc45888784"/>
      <w:bookmarkStart w:id="193" w:name="_Toc67916061"/>
      <w:bookmarkStart w:id="194" w:name="_Toc21344310"/>
      <w:bookmarkStart w:id="195" w:name="_Toc59650086"/>
      <w:bookmarkStart w:id="196" w:name="_Toc45888185"/>
      <w:bookmarkStart w:id="197" w:name="_Toc36107588"/>
      <w:bookmarkStart w:id="198" w:name="_Toc45888785"/>
      <w:bookmarkStart w:id="199" w:name="_Toc29802846"/>
      <w:bookmarkStart w:id="200" w:name="_Toc29802221"/>
      <w:bookmarkStart w:id="201" w:name="_Toc21344311"/>
      <w:bookmarkStart w:id="202" w:name="_Toc45888186"/>
      <w:bookmarkStart w:id="203" w:name="_Toc29801797"/>
      <w:bookmarkStart w:id="204" w:name="_Toc37251354"/>
      <w:bookmarkStart w:id="205" w:name="_Toc61356820"/>
      <w:bookmarkStart w:id="206" w:name="_Toc75469505"/>
      <w:bookmarkStart w:id="207" w:name="_Toc37254650"/>
      <w:bookmarkStart w:id="208" w:name="_Toc21342966"/>
      <w:bookmarkStart w:id="209" w:name="_Toc53172055"/>
      <w:bookmarkStart w:id="210" w:name="_Toc29799426"/>
      <w:bookmarkStart w:id="211" w:name="_Toc37255293"/>
      <w:bookmarkStart w:id="212" w:name="_Toc45887318"/>
      <w:bookmarkStart w:id="213" w:name="_Toc67913689"/>
      <w:bookmarkStart w:id="214" w:name="_Toc29769927"/>
      <w:r>
        <w:t>6.3A.2.1</w:t>
      </w:r>
      <w:r>
        <w:tab/>
      </w:r>
      <w:r>
        <w:t>Transmit OFF power for intra-band contiguous CA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bookmarkEnd w:id="197"/>
    <w:bookmarkEnd w:id="198"/>
    <w:bookmarkEnd w:id="199"/>
    <w:bookmarkEnd w:id="200"/>
    <w:bookmarkEnd w:id="201"/>
    <w:bookmarkEnd w:id="202"/>
    <w:bookmarkEnd w:id="203"/>
    <w:bookmarkEnd w:id="204"/>
    <w:p>
      <w:pPr>
        <w:pStyle w:val="5"/>
        <w:ind w:left="0" w:firstLine="0"/>
      </w:pPr>
      <w:bookmarkStart w:id="215" w:name="_Toc75819492"/>
      <w:bookmarkStart w:id="216" w:name="_Toc75533606"/>
      <w:bookmarkStart w:id="217" w:name="_Toc61357350"/>
      <w:bookmarkStart w:id="218" w:name="_Toc61359124"/>
      <w:bookmarkStart w:id="219" w:name="_Toc67916062"/>
      <w:bookmarkStart w:id="220" w:name="_Toc76717286"/>
      <w:bookmarkStart w:id="221" w:name="_Toc76508336"/>
      <w:r>
        <w:t>6.3A.2.2</w:t>
      </w:r>
      <w:r>
        <w:tab/>
      </w:r>
      <w:r>
        <w:t>Transmit OFF power for intra-band non-contiguous CA</w:t>
      </w:r>
      <w:bookmarkEnd w:id="215"/>
      <w:bookmarkEnd w:id="216"/>
      <w:bookmarkEnd w:id="217"/>
      <w:bookmarkEnd w:id="218"/>
      <w:bookmarkEnd w:id="219"/>
      <w:bookmarkEnd w:id="220"/>
      <w:bookmarkEnd w:id="221"/>
    </w:p>
    <w:p>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pPr>
        <w:pStyle w:val="5"/>
      </w:pPr>
      <w:r>
        <w:t>6.3A.2.3</w:t>
      </w:r>
      <w:r>
        <w:tab/>
      </w:r>
      <w:r>
        <w:t>Transmit OFF power for inter-band CA</w:t>
      </w:r>
      <w:bookmarkEnd w:id="205"/>
      <w:bookmarkEnd w:id="206"/>
      <w:bookmarkEnd w:id="207"/>
      <w:bookmarkEnd w:id="208"/>
      <w:bookmarkEnd w:id="209"/>
      <w:bookmarkEnd w:id="210"/>
      <w:bookmarkEnd w:id="211"/>
      <w:bookmarkEnd w:id="212"/>
      <w:bookmarkEnd w:id="213"/>
      <w:bookmarkEnd w:id="214"/>
    </w:p>
    <w:p>
      <w:pPr>
        <w:rPr>
          <w:ins w:id="17" w:author="ZTE_wubin" w:date="2021-08-26T11:04:57Z"/>
          <w:rFonts w:hint="eastAsia" w:eastAsia="宋体"/>
          <w:lang w:val="en-US" w:eastAsia="zh-CN"/>
        </w:rPr>
      </w:pPr>
      <w:ins w:id="18" w:author="ZTE_wubin" w:date="2021-08-26T11:04:57Z">
        <w:r>
          <w:rPr/>
          <w:t xml:space="preserve">For inter-band carrier aggregation with one uplink carrier assigned to one </w:t>
        </w:r>
      </w:ins>
      <w:ins w:id="19" w:author="ZTE_wubin" w:date="2021-08-26T11:04:57Z">
        <w:r>
          <w:rPr>
            <w:rFonts w:hint="eastAsia" w:eastAsia="宋体"/>
            <w:lang w:val="en-US" w:eastAsia="zh-CN"/>
          </w:rPr>
          <w:t>NR</w:t>
        </w:r>
      </w:ins>
      <w:ins w:id="20" w:author="ZTE_wubin" w:date="2021-08-26T11:04:57Z">
        <w:r>
          <w:rPr/>
          <w:t xml:space="preserve"> band, the transmit OFF power requirements in subclause 6.</w:t>
        </w:r>
      </w:ins>
      <w:ins w:id="21" w:author="ZTE_wubin" w:date="2021-08-26T11:04:57Z">
        <w:r>
          <w:rPr>
            <w:rFonts w:hint="eastAsia" w:eastAsia="宋体"/>
            <w:lang w:val="en-US" w:eastAsia="zh-CN"/>
          </w:rPr>
          <w:t>3.2</w:t>
        </w:r>
      </w:ins>
      <w:ins w:id="22" w:author="ZTE_wubin" w:date="2021-08-26T11:04:57Z">
        <w:r>
          <w:rPr/>
          <w:t xml:space="preserve"> apply.</w:t>
        </w:r>
      </w:ins>
      <w:ins w:id="23" w:author="ZTE_wubin" w:date="2021-08-26T11:04:57Z">
        <w:r>
          <w:rPr>
            <w:rFonts w:hint="eastAsia" w:eastAsia="宋体"/>
            <w:lang w:val="en-US" w:eastAsia="zh-CN"/>
          </w:rPr>
          <w:t xml:space="preserve"> </w:t>
        </w:r>
      </w:ins>
    </w:p>
    <w:p>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pPr>
        <w:pStyle w:val="5"/>
      </w:pPr>
      <w:bookmarkStart w:id="222" w:name="_Toc45888188"/>
      <w:bookmarkStart w:id="223" w:name="_Toc45888787"/>
      <w:bookmarkStart w:id="224" w:name="_Toc68230773"/>
      <w:bookmarkStart w:id="225" w:name="_Toc61367449"/>
      <w:bookmarkStart w:id="226" w:name="_Toc69084186"/>
      <w:bookmarkStart w:id="227" w:name="_Toc75467196"/>
      <w:bookmarkStart w:id="228" w:name="_Toc76509218"/>
      <w:bookmarkStart w:id="229" w:name="_Toc76718208"/>
      <w:bookmarkStart w:id="230" w:name="_Toc61372832"/>
      <w:r>
        <w:t>6.3A.2.4</w:t>
      </w:r>
      <w:r>
        <w:tab/>
      </w:r>
      <w:bookmarkEnd w:id="222"/>
      <w:bookmarkEnd w:id="223"/>
      <w:r>
        <w:t>Void</w:t>
      </w:r>
      <w:bookmarkEnd w:id="224"/>
      <w:bookmarkEnd w:id="225"/>
      <w:bookmarkEnd w:id="226"/>
      <w:bookmarkEnd w:id="227"/>
      <w:bookmarkEnd w:id="228"/>
      <w:bookmarkEnd w:id="229"/>
      <w:bookmarkEnd w:id="230"/>
      <w:bookmarkStart w:id="428" w:name="_GoBack"/>
      <w:bookmarkEnd w:id="428"/>
    </w:p>
    <w:p>
      <w:pPr>
        <w:pStyle w:val="4"/>
      </w:pPr>
      <w:bookmarkStart w:id="231" w:name="_Toc37254651"/>
      <w:bookmarkStart w:id="232" w:name="_Toc29769928"/>
      <w:bookmarkStart w:id="233" w:name="_Toc61356821"/>
      <w:bookmarkStart w:id="234" w:name="_Toc21342967"/>
      <w:bookmarkStart w:id="235" w:name="_Toc37255294"/>
      <w:bookmarkStart w:id="236" w:name="_Toc45887319"/>
      <w:bookmarkStart w:id="237" w:name="_Toc75469506"/>
      <w:bookmarkStart w:id="238" w:name="_Toc29799427"/>
      <w:bookmarkStart w:id="239" w:name="_Toc53172056"/>
      <w:bookmarkStart w:id="240" w:name="_Toc67913690"/>
      <w:r>
        <w:t>6.3A.3</w:t>
      </w:r>
      <w:r>
        <w:tab/>
      </w:r>
      <w:r>
        <w:t>Transmit ON/OFF time mask for CA</w:t>
      </w:r>
      <w:bookmarkEnd w:id="231"/>
      <w:bookmarkEnd w:id="232"/>
      <w:bookmarkEnd w:id="233"/>
      <w:bookmarkEnd w:id="234"/>
      <w:bookmarkEnd w:id="235"/>
      <w:bookmarkEnd w:id="236"/>
      <w:bookmarkEnd w:id="237"/>
      <w:bookmarkEnd w:id="238"/>
      <w:bookmarkEnd w:id="239"/>
      <w:bookmarkEnd w:id="240"/>
    </w:p>
    <w:p>
      <w:pPr>
        <w:pStyle w:val="5"/>
      </w:pPr>
      <w:bookmarkStart w:id="241" w:name="_Toc67916066"/>
      <w:bookmarkStart w:id="242" w:name="_Toc59650091"/>
      <w:bookmarkStart w:id="243" w:name="_Toc61357354"/>
      <w:bookmarkStart w:id="244" w:name="_Toc45888789"/>
      <w:bookmarkStart w:id="245" w:name="_Toc29802224"/>
      <w:bookmarkStart w:id="246" w:name="_Toc36107591"/>
      <w:bookmarkStart w:id="247" w:name="_Toc61359128"/>
      <w:bookmarkStart w:id="248" w:name="_Toc75819496"/>
      <w:bookmarkStart w:id="249" w:name="_Toc37251357"/>
      <w:bookmarkStart w:id="250" w:name="_Toc21344314"/>
      <w:bookmarkStart w:id="251" w:name="_Toc45888190"/>
      <w:bookmarkStart w:id="252" w:name="_Toc29801800"/>
      <w:bookmarkStart w:id="253" w:name="_Toc75533610"/>
      <w:bookmarkStart w:id="254" w:name="_Toc29802849"/>
      <w:bookmarkStart w:id="255" w:name="_Toc76508340"/>
      <w:bookmarkStart w:id="256" w:name="_Toc76717290"/>
      <w:bookmarkStart w:id="257" w:name="_Toc37251358"/>
      <w:bookmarkStart w:id="258" w:name="_Toc29801801"/>
      <w:bookmarkStart w:id="259" w:name="_Toc45888191"/>
      <w:bookmarkStart w:id="260" w:name="_Toc45888790"/>
      <w:bookmarkStart w:id="261" w:name="_Toc29802850"/>
      <w:bookmarkStart w:id="262" w:name="_Toc29802225"/>
      <w:bookmarkStart w:id="263" w:name="_Toc21344315"/>
      <w:bookmarkStart w:id="264" w:name="_Toc36107592"/>
      <w:bookmarkStart w:id="265" w:name="_Toc75469509"/>
      <w:bookmarkStart w:id="266" w:name="_Toc21342970"/>
      <w:bookmarkStart w:id="267" w:name="_Toc29799430"/>
      <w:bookmarkStart w:id="268" w:name="_Toc29769931"/>
      <w:bookmarkStart w:id="269" w:name="_Toc61356824"/>
      <w:bookmarkStart w:id="270" w:name="_Toc37254654"/>
      <w:bookmarkStart w:id="271" w:name="_Toc67913693"/>
      <w:bookmarkStart w:id="272" w:name="_Toc45887322"/>
      <w:bookmarkStart w:id="273" w:name="_Toc53172059"/>
      <w:bookmarkStart w:id="274" w:name="_Toc37255297"/>
      <w:r>
        <w:t>6.3A.3.1</w:t>
      </w:r>
      <w:r>
        <w:tab/>
      </w:r>
      <w:r>
        <w:t>Transmit ON/OFF time mask for intra-band contiguous CA</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bookmarkEnd w:id="257"/>
    <w:bookmarkEnd w:id="258"/>
    <w:bookmarkEnd w:id="259"/>
    <w:bookmarkEnd w:id="260"/>
    <w:bookmarkEnd w:id="261"/>
    <w:bookmarkEnd w:id="262"/>
    <w:bookmarkEnd w:id="263"/>
    <w:bookmarkEnd w:id="264"/>
    <w:p>
      <w:pPr>
        <w:pStyle w:val="5"/>
        <w:ind w:left="0" w:firstLine="0"/>
      </w:pPr>
      <w:bookmarkStart w:id="275" w:name="_Toc61357355"/>
      <w:bookmarkStart w:id="276" w:name="_Toc67916067"/>
      <w:bookmarkStart w:id="277" w:name="_Toc75533611"/>
      <w:bookmarkStart w:id="278" w:name="_Toc61359129"/>
      <w:bookmarkStart w:id="279" w:name="_Toc76508341"/>
      <w:bookmarkStart w:id="280" w:name="_Toc75819497"/>
      <w:bookmarkStart w:id="281" w:name="_Toc76717291"/>
      <w:r>
        <w:t>6.3A.3.2</w:t>
      </w:r>
      <w:r>
        <w:tab/>
      </w:r>
      <w:r>
        <w:t>Transmit ON/OFF time mask for intra-band non-contiguous CA</w:t>
      </w:r>
      <w:bookmarkEnd w:id="275"/>
      <w:bookmarkEnd w:id="276"/>
      <w:bookmarkEnd w:id="277"/>
      <w:bookmarkEnd w:id="278"/>
      <w:bookmarkEnd w:id="279"/>
      <w:bookmarkEnd w:id="280"/>
      <w:bookmarkEnd w:id="281"/>
    </w:p>
    <w:p>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5"/>
      </w:pPr>
      <w:r>
        <w:t>6.3A.3.3</w:t>
      </w:r>
      <w:r>
        <w:tab/>
      </w:r>
      <w:r>
        <w:t>Transmit ON/OFF time mask for inter-band CA</w:t>
      </w:r>
      <w:bookmarkEnd w:id="265"/>
      <w:bookmarkEnd w:id="266"/>
      <w:bookmarkEnd w:id="267"/>
      <w:bookmarkEnd w:id="268"/>
      <w:bookmarkEnd w:id="269"/>
      <w:bookmarkEnd w:id="270"/>
      <w:bookmarkEnd w:id="271"/>
      <w:bookmarkEnd w:id="272"/>
      <w:bookmarkEnd w:id="273"/>
      <w:bookmarkEnd w:id="274"/>
    </w:p>
    <w:p>
      <w:pPr>
        <w:pStyle w:val="6"/>
      </w:pPr>
      <w:bookmarkStart w:id="282" w:name="_Toc61357357"/>
      <w:bookmarkStart w:id="283" w:name="_Toc76508343"/>
      <w:bookmarkStart w:id="284" w:name="_Toc75533613"/>
      <w:bookmarkStart w:id="285" w:name="_Toc61359131"/>
      <w:bookmarkStart w:id="286" w:name="_Toc45888792"/>
      <w:bookmarkStart w:id="287" w:name="_Toc75819499"/>
      <w:bookmarkStart w:id="288" w:name="_Toc67916069"/>
      <w:bookmarkStart w:id="289" w:name="_Toc45888193"/>
      <w:bookmarkStart w:id="290" w:name="_Toc76717293"/>
      <w:bookmarkStart w:id="291" w:name="_Toc59650094"/>
      <w:r>
        <w:t>6.</w:t>
      </w:r>
      <w:r>
        <w:rPr>
          <w:rFonts w:hint="eastAsia"/>
          <w:lang w:eastAsia="zh-CN"/>
        </w:rPr>
        <w:t>3</w:t>
      </w:r>
      <w:r>
        <w:t>A.3.3.1</w:t>
      </w:r>
      <w:r>
        <w:tab/>
      </w:r>
      <w:r>
        <w:t>General</w:t>
      </w:r>
      <w:bookmarkEnd w:id="282"/>
      <w:bookmarkEnd w:id="283"/>
      <w:bookmarkEnd w:id="284"/>
      <w:bookmarkEnd w:id="285"/>
      <w:bookmarkEnd w:id="286"/>
      <w:bookmarkEnd w:id="287"/>
      <w:bookmarkEnd w:id="288"/>
      <w:bookmarkEnd w:id="289"/>
      <w:bookmarkEnd w:id="290"/>
      <w:bookmarkEnd w:id="291"/>
      <w:r>
        <w:t xml:space="preserve"> </w:t>
      </w:r>
    </w:p>
    <w:p>
      <w:pPr>
        <w:rPr>
          <w:rFonts w:hint="eastAsia" w:eastAsia="宋体"/>
          <w:lang w:val="en-US" w:eastAsia="zh-CN"/>
        </w:rPr>
      </w:pPr>
      <w:ins w:id="24" w:author="ZTE_wubin" w:date="2021-08-26T11:05:18Z">
        <w:r>
          <w:rPr/>
          <w:t xml:space="preserve">For inter-band carrier aggregation with one uplink carrier assigned to one </w:t>
        </w:r>
      </w:ins>
      <w:ins w:id="25" w:author="ZTE_wubin" w:date="2021-08-26T11:05:18Z">
        <w:r>
          <w:rPr>
            <w:rFonts w:hint="eastAsia" w:eastAsia="宋体"/>
            <w:lang w:val="en-US" w:eastAsia="zh-CN"/>
          </w:rPr>
          <w:t>NR</w:t>
        </w:r>
      </w:ins>
      <w:ins w:id="26" w:author="ZTE_wubin" w:date="2021-08-26T11:05:18Z">
        <w:r>
          <w:rPr/>
          <w:t xml:space="preserve"> band, the transmit ON/OFF time mask requirements in subclause 6.</w:t>
        </w:r>
      </w:ins>
      <w:ins w:id="27" w:author="ZTE_wubin" w:date="2021-08-26T11:05:18Z">
        <w:r>
          <w:rPr>
            <w:rFonts w:hint="eastAsia" w:eastAsia="宋体"/>
            <w:lang w:val="en-US" w:eastAsia="zh-CN"/>
          </w:rPr>
          <w:t>3.3</w:t>
        </w:r>
      </w:ins>
      <w:ins w:id="28" w:author="ZTE_wubin" w:date="2021-08-26T11:05:18Z">
        <w:r>
          <w:rPr/>
          <w:t xml:space="preserve"> apply.</w:t>
        </w:r>
      </w:ins>
      <w:ins w:id="29" w:author="ZTE_wubin" w:date="2021-08-26T11:05:18Z">
        <w:r>
          <w:rPr>
            <w:rFonts w:hint="eastAsia" w:eastAsia="宋体"/>
            <w:lang w:val="en-US" w:eastAsia="zh-CN"/>
          </w:rPr>
          <w:t xml:space="preserve"> </w:t>
        </w:r>
      </w:ins>
    </w:p>
    <w:p>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3"/>
        <w:rPr>
          <w:rFonts w:eastAsia="宋体"/>
          <w:color w:val="FF0000"/>
          <w:szCs w:val="32"/>
          <w:lang w:val="en-US" w:eastAsia="zh-CN"/>
        </w:rPr>
      </w:pPr>
      <w:r>
        <w:rPr>
          <w:rFonts w:hint="eastAsia" w:eastAsia="宋体"/>
          <w:color w:val="FF0000"/>
          <w:szCs w:val="32"/>
          <w:lang w:val="en-US" w:eastAsia="zh-CN"/>
        </w:rPr>
        <w:t>&lt;Next change&gt;</w:t>
      </w:r>
    </w:p>
    <w:p>
      <w:pPr>
        <w:pStyle w:val="3"/>
      </w:pPr>
      <w:bookmarkStart w:id="292" w:name="_Toc75533678"/>
      <w:bookmarkStart w:id="293" w:name="_Toc45888840"/>
      <w:bookmarkStart w:id="294" w:name="_Toc61359195"/>
      <w:bookmarkStart w:id="295" w:name="_Toc59650153"/>
      <w:bookmarkStart w:id="296" w:name="_Toc45888241"/>
      <w:bookmarkStart w:id="297" w:name="_Toc29801820"/>
      <w:bookmarkStart w:id="298" w:name="_Toc61357421"/>
      <w:bookmarkStart w:id="299" w:name="_Toc67916134"/>
      <w:bookmarkStart w:id="300" w:name="_Toc29802869"/>
      <w:bookmarkStart w:id="301" w:name="_Toc21344334"/>
      <w:bookmarkStart w:id="302" w:name="_Toc75819564"/>
      <w:bookmarkStart w:id="303" w:name="_Toc36107611"/>
      <w:bookmarkStart w:id="304" w:name="_Toc76717358"/>
      <w:bookmarkStart w:id="305" w:name="_Toc29802244"/>
      <w:bookmarkStart w:id="306" w:name="_Toc76508408"/>
      <w:bookmarkStart w:id="307" w:name="_Toc37251377"/>
      <w:bookmarkStart w:id="308" w:name="_Toc75469531"/>
      <w:bookmarkStart w:id="309" w:name="_Toc45887344"/>
      <w:bookmarkStart w:id="310" w:name="_Toc29799452"/>
      <w:bookmarkStart w:id="311" w:name="_Toc21342992"/>
      <w:bookmarkStart w:id="312" w:name="_Toc29769953"/>
      <w:bookmarkStart w:id="313" w:name="_Toc61356846"/>
      <w:bookmarkStart w:id="314" w:name="_Toc67913715"/>
      <w:bookmarkStart w:id="315" w:name="_Toc37255319"/>
      <w:bookmarkStart w:id="316" w:name="_Toc53172081"/>
      <w:bookmarkStart w:id="317" w:name="_Toc37254676"/>
      <w:r>
        <w:t>6.4A</w:t>
      </w:r>
      <w:r>
        <w:tab/>
      </w:r>
      <w:r>
        <w:t>Transmit signal quality for CA</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pStyle w:val="4"/>
      </w:pPr>
      <w:bookmarkStart w:id="318" w:name="_Toc37251378"/>
      <w:bookmarkStart w:id="319" w:name="_Toc29802870"/>
      <w:bookmarkStart w:id="320" w:name="_Toc45888242"/>
      <w:bookmarkStart w:id="321" w:name="_Toc76717359"/>
      <w:bookmarkStart w:id="322" w:name="_Toc36107612"/>
      <w:bookmarkStart w:id="323" w:name="_Toc61359196"/>
      <w:bookmarkStart w:id="324" w:name="_Toc59650154"/>
      <w:bookmarkStart w:id="325" w:name="_Toc61357422"/>
      <w:bookmarkStart w:id="326" w:name="_Toc45888841"/>
      <w:bookmarkStart w:id="327" w:name="_Toc21344335"/>
      <w:bookmarkStart w:id="328" w:name="_Toc76508409"/>
      <w:bookmarkStart w:id="329" w:name="_Toc29802245"/>
      <w:bookmarkStart w:id="330" w:name="_Toc29801821"/>
      <w:bookmarkStart w:id="331" w:name="_Toc67916135"/>
      <w:bookmarkStart w:id="332" w:name="_Toc75819565"/>
      <w:bookmarkStart w:id="333" w:name="_Toc75533679"/>
      <w:r>
        <w:t>6.4A.1</w:t>
      </w:r>
      <w:r>
        <w:tab/>
      </w:r>
      <w:r>
        <w:t>Frequency error for CA</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pPr>
        <w:pStyle w:val="5"/>
      </w:pPr>
      <w:bookmarkStart w:id="334" w:name="_Toc67916136"/>
      <w:bookmarkStart w:id="335" w:name="_Toc29801822"/>
      <w:bookmarkStart w:id="336" w:name="_Toc59650155"/>
      <w:bookmarkStart w:id="337" w:name="_Toc75819566"/>
      <w:bookmarkStart w:id="338" w:name="_Toc29802871"/>
      <w:bookmarkStart w:id="339" w:name="_Toc45888243"/>
      <w:bookmarkStart w:id="340" w:name="_Toc36107613"/>
      <w:bookmarkStart w:id="341" w:name="_Toc21344336"/>
      <w:bookmarkStart w:id="342" w:name="_Toc61359197"/>
      <w:bookmarkStart w:id="343" w:name="_Toc61357423"/>
      <w:bookmarkStart w:id="344" w:name="_Toc37251379"/>
      <w:bookmarkStart w:id="345" w:name="_Toc76717360"/>
      <w:bookmarkStart w:id="346" w:name="_Toc45888842"/>
      <w:bookmarkStart w:id="347" w:name="_Toc76508410"/>
      <w:bookmarkStart w:id="348" w:name="_Toc75533680"/>
      <w:bookmarkStart w:id="349" w:name="_Toc29802246"/>
      <w:bookmarkStart w:id="350" w:name="_Toc29802247"/>
      <w:bookmarkStart w:id="351" w:name="_Toc36107614"/>
      <w:bookmarkStart w:id="352" w:name="_Toc37251380"/>
      <w:bookmarkStart w:id="353" w:name="_Toc45888244"/>
      <w:bookmarkStart w:id="354" w:name="_Toc29801823"/>
      <w:bookmarkStart w:id="355" w:name="_Toc21344337"/>
      <w:bookmarkStart w:id="356" w:name="_Toc29802872"/>
      <w:bookmarkStart w:id="357" w:name="_Toc45888843"/>
      <w:r>
        <w:t>6.4A.1.1</w:t>
      </w:r>
      <w:r>
        <w:tab/>
      </w:r>
      <w:r>
        <w:t>Frequency error for intra-band contiguous CA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
        <w:t>For intra-band contiguous carrier aggregation the UE modulated carrier frequencies per band shall be accurate to within ±0.1 PPM observed over a period of one timeslot compared to the carrier frequency of primary component carrier received in the corresponding band</w:t>
      </w:r>
    </w:p>
    <w:bookmarkEnd w:id="350"/>
    <w:bookmarkEnd w:id="351"/>
    <w:bookmarkEnd w:id="352"/>
    <w:bookmarkEnd w:id="353"/>
    <w:bookmarkEnd w:id="354"/>
    <w:bookmarkEnd w:id="355"/>
    <w:bookmarkEnd w:id="356"/>
    <w:bookmarkEnd w:id="357"/>
    <w:p>
      <w:pPr>
        <w:pStyle w:val="5"/>
        <w:ind w:left="0" w:firstLine="0"/>
      </w:pPr>
      <w:bookmarkStart w:id="358" w:name="_Toc61357424"/>
      <w:bookmarkStart w:id="359" w:name="_Toc76508411"/>
      <w:bookmarkStart w:id="360" w:name="_Toc75533681"/>
      <w:bookmarkStart w:id="361" w:name="_Toc75819567"/>
      <w:bookmarkStart w:id="362" w:name="_Toc76717361"/>
      <w:bookmarkStart w:id="363" w:name="_Toc61359198"/>
      <w:bookmarkStart w:id="364" w:name="_Toc67916137"/>
      <w:r>
        <w:t>6.4A.1.2</w:t>
      </w:r>
      <w:r>
        <w:tab/>
      </w:r>
      <w:r>
        <w:t>Frequency error for intra-band non-contiguous CA</w:t>
      </w:r>
      <w:bookmarkEnd w:id="358"/>
      <w:bookmarkEnd w:id="359"/>
      <w:bookmarkEnd w:id="360"/>
      <w:bookmarkEnd w:id="361"/>
      <w:bookmarkEnd w:id="362"/>
      <w:bookmarkEnd w:id="363"/>
      <w:bookmarkEnd w:id="364"/>
    </w:p>
    <w:p>
      <w:pPr>
        <w:rPr>
          <w:lang w:eastAsia="zh-CN"/>
        </w:rPr>
      </w:pPr>
      <w:r>
        <w:rPr>
          <w:lang w:eastAsia="zh-CN"/>
        </w:rPr>
        <w:t>For intra-band non-contiguous carrier aggregation the requirements in Section 6.4.1 applies per component carrier.</w:t>
      </w:r>
    </w:p>
    <w:p>
      <w:pPr>
        <w:pStyle w:val="5"/>
      </w:pPr>
      <w:r>
        <w:t>6.4A.1.3</w:t>
      </w:r>
      <w:r>
        <w:tab/>
      </w:r>
      <w:r>
        <w:t>Frequency error for inter-band CA</w:t>
      </w:r>
      <w:bookmarkEnd w:id="308"/>
      <w:bookmarkEnd w:id="309"/>
      <w:bookmarkEnd w:id="310"/>
      <w:bookmarkEnd w:id="311"/>
      <w:bookmarkEnd w:id="312"/>
      <w:bookmarkEnd w:id="313"/>
      <w:bookmarkEnd w:id="314"/>
      <w:bookmarkEnd w:id="315"/>
      <w:bookmarkEnd w:id="316"/>
      <w:bookmarkEnd w:id="317"/>
    </w:p>
    <w:p>
      <w:pPr>
        <w:rPr>
          <w:rFonts w:hint="eastAsia" w:eastAsia="宋体"/>
          <w:lang w:val="en-US" w:eastAsia="zh-CN"/>
        </w:rPr>
      </w:pPr>
      <w:ins w:id="30" w:author="ZTE_wubin" w:date="2021-08-26T11:05:35Z">
        <w:r>
          <w:rPr/>
          <w:t xml:space="preserve">For inter-band carrier aggregation with one uplink carrier assigned to one </w:t>
        </w:r>
      </w:ins>
      <w:ins w:id="31" w:author="ZTE_wubin" w:date="2021-08-26T11:05:35Z">
        <w:r>
          <w:rPr>
            <w:rFonts w:hint="eastAsia" w:eastAsia="宋体"/>
            <w:lang w:val="en-US" w:eastAsia="zh-CN"/>
          </w:rPr>
          <w:t>NR</w:t>
        </w:r>
      </w:ins>
      <w:ins w:id="32" w:author="ZTE_wubin" w:date="2021-08-26T11:05:35Z">
        <w:r>
          <w:rPr/>
          <w:t xml:space="preserve"> band, the frequency error requirements in subclause 6.</w:t>
        </w:r>
      </w:ins>
      <w:ins w:id="33" w:author="ZTE_wubin" w:date="2021-08-26T11:05:35Z">
        <w:r>
          <w:rPr>
            <w:rFonts w:hint="eastAsia" w:eastAsia="宋体"/>
            <w:lang w:val="en-US" w:eastAsia="zh-CN"/>
          </w:rPr>
          <w:t>4.1</w:t>
        </w:r>
      </w:ins>
      <w:ins w:id="34" w:author="ZTE_wubin" w:date="2021-08-26T11:05:35Z">
        <w:r>
          <w:rPr/>
          <w:t xml:space="preserve"> apply.</w:t>
        </w:r>
      </w:ins>
      <w:ins w:id="35" w:author="ZTE_wubin" w:date="2021-07-05T15:25:00Z">
        <w:r>
          <w:rPr>
            <w:rFonts w:hint="eastAsia" w:eastAsia="宋体"/>
            <w:lang w:val="en-US" w:eastAsia="zh-CN"/>
          </w:rPr>
          <w:t xml:space="preserve"> </w:t>
        </w:r>
      </w:ins>
    </w:p>
    <w:p>
      <w:r>
        <w:t>For inter-band carrier aggregation with uplink assigned to two NR bands, the frequency error requirements defined in clause 6.4.1 shall apply on each component carrier with all component carriers active.</w:t>
      </w:r>
    </w:p>
    <w:p>
      <w:pPr>
        <w:pStyle w:val="5"/>
      </w:pPr>
      <w:bookmarkStart w:id="365" w:name="_Toc45888845"/>
      <w:bookmarkStart w:id="366" w:name="_Toc45888246"/>
      <w:bookmarkStart w:id="367" w:name="_Toc75819569"/>
      <w:bookmarkStart w:id="368" w:name="_Toc76508413"/>
      <w:bookmarkStart w:id="369" w:name="_Toc76717363"/>
      <w:bookmarkStart w:id="370" w:name="_Toc61357426"/>
      <w:bookmarkStart w:id="371" w:name="_Toc61359200"/>
      <w:bookmarkStart w:id="372" w:name="_Toc59650158"/>
      <w:bookmarkStart w:id="373" w:name="_Toc75533683"/>
      <w:bookmarkStart w:id="374" w:name="_Toc67916139"/>
      <w:r>
        <w:t>6.4A.1.4</w:t>
      </w:r>
      <w:r>
        <w:tab/>
      </w:r>
      <w:bookmarkEnd w:id="365"/>
      <w:bookmarkEnd w:id="366"/>
      <w:r>
        <w:t>Void</w:t>
      </w:r>
      <w:bookmarkEnd w:id="367"/>
      <w:bookmarkEnd w:id="368"/>
      <w:bookmarkEnd w:id="369"/>
      <w:bookmarkEnd w:id="370"/>
      <w:bookmarkEnd w:id="371"/>
      <w:bookmarkEnd w:id="372"/>
      <w:bookmarkEnd w:id="373"/>
      <w:bookmarkEnd w:id="374"/>
    </w:p>
    <w:p>
      <w:pPr>
        <w:pStyle w:val="4"/>
      </w:pPr>
      <w:bookmarkStart w:id="375" w:name="_Toc53172082"/>
      <w:bookmarkStart w:id="376" w:name="_Toc37254677"/>
      <w:bookmarkStart w:id="377" w:name="_Toc37255320"/>
      <w:bookmarkStart w:id="378" w:name="_Toc29799453"/>
      <w:bookmarkStart w:id="379" w:name="_Toc29769954"/>
      <w:bookmarkStart w:id="380" w:name="_Toc67913716"/>
      <w:bookmarkStart w:id="381" w:name="_Toc21342993"/>
      <w:bookmarkStart w:id="382" w:name="_Toc61356847"/>
      <w:bookmarkStart w:id="383" w:name="_Toc45887345"/>
      <w:bookmarkStart w:id="384" w:name="_Toc75469532"/>
      <w:r>
        <w:t>6.4A.2</w:t>
      </w:r>
      <w:r>
        <w:tab/>
      </w:r>
      <w:r>
        <w:t>Transmit modulation quality for CA</w:t>
      </w:r>
      <w:bookmarkEnd w:id="375"/>
      <w:bookmarkEnd w:id="376"/>
      <w:bookmarkEnd w:id="377"/>
      <w:bookmarkEnd w:id="378"/>
      <w:bookmarkEnd w:id="379"/>
      <w:bookmarkEnd w:id="380"/>
      <w:bookmarkEnd w:id="381"/>
      <w:bookmarkEnd w:id="382"/>
      <w:bookmarkEnd w:id="383"/>
      <w:bookmarkEnd w:id="384"/>
    </w:p>
    <w:p>
      <w:pPr>
        <w:pStyle w:val="5"/>
      </w:pPr>
      <w:bookmarkStart w:id="385" w:name="_Toc76508415"/>
      <w:bookmarkStart w:id="386" w:name="_Toc75819571"/>
      <w:bookmarkStart w:id="387" w:name="_Toc36107617"/>
      <w:bookmarkStart w:id="388" w:name="_Toc29802875"/>
      <w:bookmarkStart w:id="389" w:name="_Toc67916141"/>
      <w:bookmarkStart w:id="390" w:name="_Toc59650160"/>
      <w:bookmarkStart w:id="391" w:name="_Toc45888847"/>
      <w:bookmarkStart w:id="392" w:name="_Toc45888248"/>
      <w:bookmarkStart w:id="393" w:name="_Toc21344340"/>
      <w:bookmarkStart w:id="394" w:name="_Toc37251383"/>
      <w:bookmarkStart w:id="395" w:name="_Toc75533685"/>
      <w:bookmarkStart w:id="396" w:name="_Toc61359202"/>
      <w:bookmarkStart w:id="397" w:name="_Toc29801826"/>
      <w:bookmarkStart w:id="398" w:name="_Toc76717365"/>
      <w:bookmarkStart w:id="399" w:name="_Toc61357428"/>
      <w:bookmarkStart w:id="400" w:name="_Toc29802250"/>
      <w:r>
        <w:t>6.4A.2.1</w:t>
      </w:r>
      <w:r>
        <w:tab/>
      </w:r>
      <w:r>
        <w:t>Transmit modulation quality for intra-band contiguous CA</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
        <w:rPr>
          <w:rFonts w:hint="eastAsia" w:eastAsia="宋体"/>
          <w:i/>
          <w:iCs/>
          <w:color w:val="FF0000"/>
          <w:lang w:val="en-US" w:eastAsia="zh-CN"/>
        </w:rPr>
        <w:t>&lt;Text not changed are omitted.&gt;</w:t>
      </w:r>
    </w:p>
    <w:p>
      <w:pPr>
        <w:pStyle w:val="5"/>
        <w:ind w:left="0" w:firstLine="0"/>
      </w:pPr>
      <w:bookmarkStart w:id="401" w:name="_Toc61359206"/>
      <w:bookmarkStart w:id="402" w:name="_Toc76508419"/>
      <w:bookmarkStart w:id="403" w:name="_Toc75533689"/>
      <w:bookmarkStart w:id="404" w:name="_Toc75819575"/>
      <w:bookmarkStart w:id="405" w:name="_Toc67916145"/>
      <w:bookmarkStart w:id="406" w:name="_Toc76717369"/>
      <w:bookmarkStart w:id="407" w:name="_Toc61357432"/>
      <w:r>
        <w:t>6.4A.2.2</w:t>
      </w:r>
      <w:r>
        <w:tab/>
      </w:r>
      <w:r>
        <w:t>Transmit modulation quality for intra-band non-contiguous CA</w:t>
      </w:r>
      <w:bookmarkEnd w:id="401"/>
      <w:bookmarkEnd w:id="402"/>
      <w:bookmarkEnd w:id="403"/>
      <w:bookmarkEnd w:id="404"/>
      <w:bookmarkEnd w:id="405"/>
      <w:bookmarkEnd w:id="406"/>
      <w:bookmarkEnd w:id="407"/>
    </w:p>
    <w:p>
      <w:r>
        <w:rPr>
          <w:rFonts w:hint="eastAsia" w:eastAsia="宋体"/>
          <w:i/>
          <w:iCs/>
          <w:color w:val="FF0000"/>
          <w:lang w:val="en-US" w:eastAsia="zh-CN"/>
        </w:rPr>
        <w:t>&lt;Text not changed are omitted.&gt;</w:t>
      </w:r>
    </w:p>
    <w:p>
      <w:pPr>
        <w:pStyle w:val="5"/>
      </w:pPr>
      <w:bookmarkStart w:id="408" w:name="_Toc45887348"/>
      <w:bookmarkStart w:id="409" w:name="_Toc21342996"/>
      <w:bookmarkStart w:id="410" w:name="_Toc29799456"/>
      <w:bookmarkStart w:id="411" w:name="_Toc37255323"/>
      <w:bookmarkStart w:id="412" w:name="_Toc53172085"/>
      <w:bookmarkStart w:id="413" w:name="_Toc75469535"/>
      <w:bookmarkStart w:id="414" w:name="_Toc67913719"/>
      <w:bookmarkStart w:id="415" w:name="_Toc29769957"/>
      <w:bookmarkStart w:id="416" w:name="_Toc61356850"/>
      <w:bookmarkStart w:id="417" w:name="_Toc37254680"/>
      <w:r>
        <w:t>6.4A.2.3</w:t>
      </w:r>
      <w:r>
        <w:tab/>
      </w:r>
      <w:r>
        <w:t>Transmit modulation quality for inter-band CA</w:t>
      </w:r>
      <w:bookmarkEnd w:id="408"/>
      <w:bookmarkEnd w:id="409"/>
      <w:bookmarkEnd w:id="410"/>
      <w:bookmarkEnd w:id="411"/>
      <w:bookmarkEnd w:id="412"/>
      <w:bookmarkEnd w:id="413"/>
      <w:bookmarkEnd w:id="414"/>
      <w:bookmarkEnd w:id="415"/>
      <w:bookmarkEnd w:id="416"/>
      <w:bookmarkEnd w:id="417"/>
    </w:p>
    <w:p>
      <w:ins w:id="36" w:author="ZTE_wubin" w:date="2021-08-26T11:05:53Z">
        <w:r>
          <w:rPr/>
          <w:t xml:space="preserve">For inter-band carrier aggregation with one uplink carrier assigned to one </w:t>
        </w:r>
      </w:ins>
      <w:ins w:id="37" w:author="ZTE_wubin" w:date="2021-08-26T11:05:53Z">
        <w:r>
          <w:rPr>
            <w:rFonts w:hint="eastAsia" w:eastAsia="宋体"/>
            <w:lang w:val="en-US" w:eastAsia="zh-CN"/>
          </w:rPr>
          <w:t>NR</w:t>
        </w:r>
      </w:ins>
      <w:ins w:id="38" w:author="ZTE_wubin" w:date="2021-08-26T11:05:53Z">
        <w:r>
          <w:rPr/>
          <w:t xml:space="preserve"> band, the transmit modulation quality requirements in subclause 6.</w:t>
        </w:r>
      </w:ins>
      <w:ins w:id="39" w:author="ZTE_wubin" w:date="2021-08-26T11:05:53Z">
        <w:r>
          <w:rPr>
            <w:rFonts w:hint="eastAsia" w:eastAsia="宋体"/>
            <w:lang w:val="en-US" w:eastAsia="zh-CN"/>
          </w:rPr>
          <w:t>4.2</w:t>
        </w:r>
      </w:ins>
      <w:ins w:id="40" w:author="ZTE_wubin" w:date="2021-08-26T11:05:53Z">
        <w:r>
          <w:rPr/>
          <w:t xml:space="preserve"> apply.</w:t>
        </w:r>
      </w:ins>
      <w:ins w:id="41" w:author="ZTE_wubin" w:date="2021-08-26T11:05:53Z">
        <w:r>
          <w:rPr>
            <w:rFonts w:hint="eastAsia" w:eastAsia="宋体"/>
            <w:lang w:val="en-US" w:eastAsia="zh-CN"/>
          </w:rPr>
          <w:t xml:space="preserve"> </w:t>
        </w:r>
      </w:ins>
    </w:p>
    <w:p>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pPr>
        <w:pStyle w:val="5"/>
      </w:pPr>
      <w:bookmarkStart w:id="418" w:name="_Toc45888251"/>
      <w:bookmarkStart w:id="419" w:name="_Toc45888850"/>
      <w:bookmarkStart w:id="420" w:name="_Toc61359210"/>
      <w:bookmarkStart w:id="421" w:name="_Toc75819579"/>
      <w:bookmarkStart w:id="422" w:name="_Toc61357436"/>
      <w:bookmarkStart w:id="423" w:name="_Toc59650166"/>
      <w:bookmarkStart w:id="424" w:name="_Toc76717373"/>
      <w:bookmarkStart w:id="425" w:name="_Toc75533693"/>
      <w:bookmarkStart w:id="426" w:name="_Toc67916149"/>
      <w:bookmarkStart w:id="427" w:name="_Toc76508423"/>
      <w:r>
        <w:t>6.4A.2.4</w:t>
      </w:r>
      <w:r>
        <w:tab/>
      </w:r>
      <w:bookmarkEnd w:id="418"/>
      <w:bookmarkEnd w:id="419"/>
      <w:r>
        <w:t>Void</w:t>
      </w:r>
      <w:bookmarkEnd w:id="420"/>
      <w:bookmarkEnd w:id="421"/>
      <w:bookmarkEnd w:id="422"/>
      <w:bookmarkEnd w:id="423"/>
      <w:bookmarkEnd w:id="424"/>
      <w:bookmarkEnd w:id="425"/>
      <w:bookmarkEnd w:id="426"/>
      <w:bookmarkEnd w:id="427"/>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3"/>
    <w:p>
      <w:pPr>
        <w:pStyle w:val="56"/>
      </w:pPr>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18CC"/>
    <w:rsid w:val="006257ED"/>
    <w:rsid w:val="00635D2D"/>
    <w:rsid w:val="006373EA"/>
    <w:rsid w:val="006459E2"/>
    <w:rsid w:val="00646C14"/>
    <w:rsid w:val="00654E37"/>
    <w:rsid w:val="0065602F"/>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25E0"/>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26CE"/>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3726C"/>
    <w:rsid w:val="0116565B"/>
    <w:rsid w:val="01334A93"/>
    <w:rsid w:val="01366E72"/>
    <w:rsid w:val="013B6B94"/>
    <w:rsid w:val="01553A50"/>
    <w:rsid w:val="017B3DC2"/>
    <w:rsid w:val="017C38F4"/>
    <w:rsid w:val="01863FA0"/>
    <w:rsid w:val="018E1FFD"/>
    <w:rsid w:val="01952AED"/>
    <w:rsid w:val="019E5595"/>
    <w:rsid w:val="01B37CCA"/>
    <w:rsid w:val="01CC2AE1"/>
    <w:rsid w:val="01EB7E85"/>
    <w:rsid w:val="01FC1014"/>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9922F9"/>
    <w:rsid w:val="04AD2CEE"/>
    <w:rsid w:val="04B02FC5"/>
    <w:rsid w:val="04E761E8"/>
    <w:rsid w:val="04EA0513"/>
    <w:rsid w:val="04EF65FE"/>
    <w:rsid w:val="04F272C4"/>
    <w:rsid w:val="05045453"/>
    <w:rsid w:val="05086C6C"/>
    <w:rsid w:val="051C4644"/>
    <w:rsid w:val="052200CB"/>
    <w:rsid w:val="052D37B5"/>
    <w:rsid w:val="052E3ABF"/>
    <w:rsid w:val="053F0838"/>
    <w:rsid w:val="05527ABF"/>
    <w:rsid w:val="056A56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CE46E7"/>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7D2E2B"/>
    <w:rsid w:val="0B882B16"/>
    <w:rsid w:val="0B8E67B9"/>
    <w:rsid w:val="0B916027"/>
    <w:rsid w:val="0BCF123A"/>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A80794"/>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EFA1A96"/>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AA58B0"/>
    <w:rsid w:val="10AE3CBE"/>
    <w:rsid w:val="10B22ED0"/>
    <w:rsid w:val="10B26C94"/>
    <w:rsid w:val="10B873A1"/>
    <w:rsid w:val="10CE6072"/>
    <w:rsid w:val="10D76772"/>
    <w:rsid w:val="10E73B12"/>
    <w:rsid w:val="10F17BB5"/>
    <w:rsid w:val="10F4041D"/>
    <w:rsid w:val="110A6E79"/>
    <w:rsid w:val="111B2C31"/>
    <w:rsid w:val="11281BDA"/>
    <w:rsid w:val="11411292"/>
    <w:rsid w:val="114178FA"/>
    <w:rsid w:val="114E7F96"/>
    <w:rsid w:val="114F4150"/>
    <w:rsid w:val="11593FBA"/>
    <w:rsid w:val="116C23E4"/>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3564E"/>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011CF2"/>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7D6143"/>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E013B"/>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DB00E7"/>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E4B0E"/>
    <w:rsid w:val="1F5F4A53"/>
    <w:rsid w:val="1F645D85"/>
    <w:rsid w:val="1F6F7544"/>
    <w:rsid w:val="1F712AC1"/>
    <w:rsid w:val="1FAD4471"/>
    <w:rsid w:val="1FAF0AAB"/>
    <w:rsid w:val="1FB64891"/>
    <w:rsid w:val="1FB650E5"/>
    <w:rsid w:val="1FDB07D5"/>
    <w:rsid w:val="1FDE7F56"/>
    <w:rsid w:val="1FE02D0E"/>
    <w:rsid w:val="200F087C"/>
    <w:rsid w:val="20246E63"/>
    <w:rsid w:val="20461FEC"/>
    <w:rsid w:val="204978F1"/>
    <w:rsid w:val="207276F4"/>
    <w:rsid w:val="20862B4A"/>
    <w:rsid w:val="20875FE5"/>
    <w:rsid w:val="208F6A7F"/>
    <w:rsid w:val="209828C6"/>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2D6D6E"/>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43377"/>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9F43DA"/>
    <w:rsid w:val="2EA04EB6"/>
    <w:rsid w:val="2EA52BCC"/>
    <w:rsid w:val="2EA65529"/>
    <w:rsid w:val="2EAE2433"/>
    <w:rsid w:val="2EBC7E00"/>
    <w:rsid w:val="2EF05633"/>
    <w:rsid w:val="2EF10EBA"/>
    <w:rsid w:val="2EF91DDF"/>
    <w:rsid w:val="2F002A76"/>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B3794"/>
    <w:rsid w:val="2FFC2A25"/>
    <w:rsid w:val="30062604"/>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00FA2"/>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047C23"/>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3DF4C3C"/>
    <w:rsid w:val="340D5E55"/>
    <w:rsid w:val="341C7955"/>
    <w:rsid w:val="3420294C"/>
    <w:rsid w:val="34301EB8"/>
    <w:rsid w:val="343220F0"/>
    <w:rsid w:val="346B392E"/>
    <w:rsid w:val="3471062A"/>
    <w:rsid w:val="347378C0"/>
    <w:rsid w:val="347E2AA1"/>
    <w:rsid w:val="34A23BC4"/>
    <w:rsid w:val="34A35808"/>
    <w:rsid w:val="34A5007B"/>
    <w:rsid w:val="34A9070C"/>
    <w:rsid w:val="34E37B01"/>
    <w:rsid w:val="35046E0F"/>
    <w:rsid w:val="35060114"/>
    <w:rsid w:val="35136FC2"/>
    <w:rsid w:val="352A0C25"/>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9C7CA1"/>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62C51"/>
    <w:rsid w:val="3A17183A"/>
    <w:rsid w:val="3A2375BE"/>
    <w:rsid w:val="3A44491B"/>
    <w:rsid w:val="3A4969EC"/>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30C31"/>
    <w:rsid w:val="3B3A1B09"/>
    <w:rsid w:val="3B531E51"/>
    <w:rsid w:val="3B5D6C17"/>
    <w:rsid w:val="3B735E06"/>
    <w:rsid w:val="3B742306"/>
    <w:rsid w:val="3B791CE3"/>
    <w:rsid w:val="3BA150A1"/>
    <w:rsid w:val="3BBC3CE9"/>
    <w:rsid w:val="3BCD57A1"/>
    <w:rsid w:val="3BE70FC8"/>
    <w:rsid w:val="3BEC4CE1"/>
    <w:rsid w:val="3BFD07D4"/>
    <w:rsid w:val="3C131501"/>
    <w:rsid w:val="3C2F11CA"/>
    <w:rsid w:val="3C392695"/>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14F97"/>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7651E"/>
    <w:rsid w:val="3FC31D0C"/>
    <w:rsid w:val="3FD900D6"/>
    <w:rsid w:val="3FF85B4D"/>
    <w:rsid w:val="400C0688"/>
    <w:rsid w:val="4010452F"/>
    <w:rsid w:val="40372BAA"/>
    <w:rsid w:val="40393596"/>
    <w:rsid w:val="405F4D71"/>
    <w:rsid w:val="40672888"/>
    <w:rsid w:val="406D14C8"/>
    <w:rsid w:val="408A45E9"/>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943BCC"/>
    <w:rsid w:val="42A04312"/>
    <w:rsid w:val="42A52812"/>
    <w:rsid w:val="42B34034"/>
    <w:rsid w:val="42CB2FDB"/>
    <w:rsid w:val="42D01E95"/>
    <w:rsid w:val="42D62C72"/>
    <w:rsid w:val="42DE633D"/>
    <w:rsid w:val="42E513D5"/>
    <w:rsid w:val="42E56B44"/>
    <w:rsid w:val="42EB7CA1"/>
    <w:rsid w:val="42F81104"/>
    <w:rsid w:val="42FF5C78"/>
    <w:rsid w:val="433D6AEF"/>
    <w:rsid w:val="434C4FEB"/>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04800"/>
    <w:rsid w:val="49C570F9"/>
    <w:rsid w:val="4A1C754E"/>
    <w:rsid w:val="4A4D1931"/>
    <w:rsid w:val="4A503249"/>
    <w:rsid w:val="4A670083"/>
    <w:rsid w:val="4A6B6B35"/>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02680"/>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36C7F"/>
    <w:rsid w:val="51174291"/>
    <w:rsid w:val="512D3F76"/>
    <w:rsid w:val="512D628A"/>
    <w:rsid w:val="51346EFA"/>
    <w:rsid w:val="515E0AFE"/>
    <w:rsid w:val="516140B1"/>
    <w:rsid w:val="51710B4D"/>
    <w:rsid w:val="517528D4"/>
    <w:rsid w:val="51934D98"/>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D78ED"/>
    <w:rsid w:val="54CE0B53"/>
    <w:rsid w:val="54D21B6B"/>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63783"/>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13860"/>
    <w:rsid w:val="58934D34"/>
    <w:rsid w:val="58AC675C"/>
    <w:rsid w:val="58CD6007"/>
    <w:rsid w:val="58DA2341"/>
    <w:rsid w:val="58F12013"/>
    <w:rsid w:val="591323F1"/>
    <w:rsid w:val="59181052"/>
    <w:rsid w:val="591B1C7C"/>
    <w:rsid w:val="591F4DBF"/>
    <w:rsid w:val="592F08E4"/>
    <w:rsid w:val="59335E27"/>
    <w:rsid w:val="59376FB3"/>
    <w:rsid w:val="59442A34"/>
    <w:rsid w:val="5962525D"/>
    <w:rsid w:val="5963266D"/>
    <w:rsid w:val="5966420A"/>
    <w:rsid w:val="59697241"/>
    <w:rsid w:val="597F7DE8"/>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2F74DD"/>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091FA8"/>
    <w:rsid w:val="5F1204C2"/>
    <w:rsid w:val="5F1B5636"/>
    <w:rsid w:val="5F272355"/>
    <w:rsid w:val="5F2D6128"/>
    <w:rsid w:val="5F32684B"/>
    <w:rsid w:val="5F38618A"/>
    <w:rsid w:val="5F4D44F4"/>
    <w:rsid w:val="5F7A4C35"/>
    <w:rsid w:val="5F810B67"/>
    <w:rsid w:val="5F85227B"/>
    <w:rsid w:val="5F9C1CD7"/>
    <w:rsid w:val="5FA640E0"/>
    <w:rsid w:val="5FB46DFD"/>
    <w:rsid w:val="5FD04C9A"/>
    <w:rsid w:val="5FD374BF"/>
    <w:rsid w:val="5FDD1796"/>
    <w:rsid w:val="5FE94EC9"/>
    <w:rsid w:val="5FF35F9A"/>
    <w:rsid w:val="60007D5E"/>
    <w:rsid w:val="60014D93"/>
    <w:rsid w:val="60165DCB"/>
    <w:rsid w:val="60241107"/>
    <w:rsid w:val="60345CDF"/>
    <w:rsid w:val="604C2BA3"/>
    <w:rsid w:val="60607020"/>
    <w:rsid w:val="608901C5"/>
    <w:rsid w:val="60A85F03"/>
    <w:rsid w:val="60AC30B4"/>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2F1BDE"/>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13C15"/>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CE85DCE"/>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919D7"/>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2E34CB"/>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3C783C"/>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4040A"/>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C6551D"/>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B00D70"/>
    <w:rsid w:val="79D43305"/>
    <w:rsid w:val="79DA548B"/>
    <w:rsid w:val="79DD2776"/>
    <w:rsid w:val="79E478A3"/>
    <w:rsid w:val="7A302548"/>
    <w:rsid w:val="7A370AE8"/>
    <w:rsid w:val="7A5927F4"/>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96260F"/>
    <w:rsid w:val="7BA055EC"/>
    <w:rsid w:val="7BA27382"/>
    <w:rsid w:val="7BBE29F3"/>
    <w:rsid w:val="7BC1033E"/>
    <w:rsid w:val="7BC97500"/>
    <w:rsid w:val="7BEB07E6"/>
    <w:rsid w:val="7BF338C2"/>
    <w:rsid w:val="7BF366E0"/>
    <w:rsid w:val="7C256D75"/>
    <w:rsid w:val="7C267B39"/>
    <w:rsid w:val="7C673EF1"/>
    <w:rsid w:val="7C6869CD"/>
    <w:rsid w:val="7C734CDF"/>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D10FF"/>
    <w:rsid w:val="7DB16F01"/>
    <w:rsid w:val="7DB42B15"/>
    <w:rsid w:val="7DC60F15"/>
    <w:rsid w:val="7DC67222"/>
    <w:rsid w:val="7DD222FD"/>
    <w:rsid w:val="7DD6430C"/>
    <w:rsid w:val="7DDF0FE3"/>
    <w:rsid w:val="7DE22952"/>
    <w:rsid w:val="7DE6241C"/>
    <w:rsid w:val="7DF42792"/>
    <w:rsid w:val="7DFF5150"/>
    <w:rsid w:val="7E037187"/>
    <w:rsid w:val="7E057575"/>
    <w:rsid w:val="7E176C41"/>
    <w:rsid w:val="7E2C1DE4"/>
    <w:rsid w:val="7E3358AB"/>
    <w:rsid w:val="7E5B5475"/>
    <w:rsid w:val="7E6C0EEC"/>
    <w:rsid w:val="7E794CC5"/>
    <w:rsid w:val="7E803256"/>
    <w:rsid w:val="7E820EB6"/>
    <w:rsid w:val="7EAA2AE4"/>
    <w:rsid w:val="7EDF3FB3"/>
    <w:rsid w:val="7EF73A9E"/>
    <w:rsid w:val="7F27607D"/>
    <w:rsid w:val="7F472F0E"/>
    <w:rsid w:val="7F5A4162"/>
    <w:rsid w:val="7F5F3E74"/>
    <w:rsid w:val="7F605486"/>
    <w:rsid w:val="7F6A152A"/>
    <w:rsid w:val="7F6D7814"/>
    <w:rsid w:val="7F6E763F"/>
    <w:rsid w:val="7F7211E6"/>
    <w:rsid w:val="7F7B0092"/>
    <w:rsid w:val="7F831604"/>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50"/>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4"/>
    <w:qFormat/>
    <w:uiPriority w:val="0"/>
    <w:rPr>
      <w:rFonts w:ascii="Tahoma" w:hAnsi="Tahoma" w:cs="Tahoma"/>
      <w:sz w:val="16"/>
      <w:szCs w:val="16"/>
      <w:lang w:val="en-GB"/>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spacing w:before="0" w:after="240"/>
    </w:pPr>
  </w:style>
  <w:style w:type="paragraph" w:customStyle="1" w:styleId="63">
    <w:name w:val="TH"/>
    <w:basedOn w:val="1"/>
    <w:link w:val="115"/>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1"/>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批注主题 字符"/>
    <w:link w:val="43"/>
    <w:qFormat/>
    <w:uiPriority w:val="0"/>
    <w:rPr>
      <w:rFonts w:ascii="Times New Roman" w:hAnsi="Times New Roman"/>
      <w:b/>
      <w:bCs/>
      <w:lang w:val="en-GB"/>
    </w:rPr>
  </w:style>
  <w:style w:type="character" w:customStyle="1" w:styleId="95">
    <w:name w:val="正文文本 字符"/>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未处理的提及1"/>
    <w:unhideWhenUsed/>
    <w:qFormat/>
    <w:uiPriority w:val="99"/>
    <w:rPr>
      <w:color w:val="808080"/>
      <w:shd w:val="clear" w:color="auto" w:fill="E6E6E6"/>
    </w:rPr>
  </w:style>
  <w:style w:type="character" w:customStyle="1" w:styleId="98">
    <w:name w:val="标题 2 字符"/>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标题 4 字符"/>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批注文字 字符"/>
    <w:link w:val="30"/>
    <w:qFormat/>
    <w:uiPriority w:val="0"/>
    <w:rPr>
      <w:rFonts w:ascii="Times New Roman" w:hAnsi="Times New Roman"/>
      <w:lang w:val="en-GB"/>
    </w:rPr>
  </w:style>
  <w:style w:type="character" w:customStyle="1" w:styleId="109">
    <w:name w:val="文档结构图 字符"/>
    <w:link w:val="29"/>
    <w:qFormat/>
    <w:uiPriority w:val="0"/>
    <w:rPr>
      <w:rFonts w:ascii="Tahoma" w:hAnsi="Tahoma" w:cs="Tahoma"/>
      <w:shd w:val="clear" w:color="auto" w:fill="000080"/>
      <w:lang w:val="en-GB"/>
    </w:rPr>
  </w:style>
  <w:style w:type="character" w:customStyle="1" w:styleId="110">
    <w:name w:val="标题 3 字符"/>
    <w:link w:val="4"/>
    <w:qFormat/>
    <w:uiPriority w:val="0"/>
    <w:rPr>
      <w:rFonts w:ascii="Arial" w:hAnsi="Arial"/>
      <w:sz w:val="28"/>
      <w:lang w:val="en-GB"/>
    </w:rPr>
  </w:style>
  <w:style w:type="character" w:customStyle="1" w:styleId="111">
    <w:name w:val="B2 Char"/>
    <w:link w:val="87"/>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3"/>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886</Words>
  <Characters>5052</Characters>
  <Lines>42</Lines>
  <Paragraphs>11</Paragraphs>
  <TotalTime>0</TotalTime>
  <ScaleCrop>false</ScaleCrop>
  <LinksUpToDate>false</LinksUpToDate>
  <CharactersWithSpaces>5927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2021-08-23T02:07:00Z</dcterms:created>
  <dc:creator>Wubin Zhou</dc:creator>
  <cp:lastModifiedBy>ZTE_wubin</cp:lastModifiedBy>
  <dcterms:modified xsi:type="dcterms:W3CDTF">2021-08-26T03:16:58Z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